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717F" w14:textId="77777777" w:rsidR="006103B3" w:rsidRPr="000D704D" w:rsidRDefault="00000000">
      <w:pPr>
        <w:spacing w:after="80"/>
        <w:rPr>
          <w:color w:val="000000" w:themeColor="text1"/>
        </w:rPr>
      </w:pPr>
      <w:r w:rsidRPr="000D704D">
        <w:rPr>
          <w:b/>
          <w:bCs/>
          <w:color w:val="000000" w:themeColor="text1"/>
          <w:sz w:val="52"/>
          <w:szCs w:val="52"/>
        </w:rPr>
        <w:t>Privacy Policy</w:t>
      </w:r>
    </w:p>
    <w:p w14:paraId="6953EF33" w14:textId="77777777" w:rsidR="006103B3" w:rsidRPr="000D704D" w:rsidRDefault="00000000">
      <w:pPr>
        <w:spacing w:after="40"/>
        <w:rPr>
          <w:color w:val="000000" w:themeColor="text1"/>
        </w:rPr>
      </w:pPr>
      <w:r w:rsidRPr="000D704D">
        <w:rPr>
          <w:color w:val="000000" w:themeColor="text1"/>
          <w:sz w:val="24"/>
          <w:szCs w:val="24"/>
        </w:rPr>
        <w:t>Navia Health Ltd — GDPR Compliant</w:t>
      </w:r>
    </w:p>
    <w:p w14:paraId="540C5E1A" w14:textId="5CC81C1C" w:rsidR="006103B3" w:rsidRPr="000D704D" w:rsidRDefault="00000000">
      <w:pPr>
        <w:spacing w:after="20"/>
        <w:rPr>
          <w:color w:val="000000" w:themeColor="text1"/>
        </w:rPr>
      </w:pPr>
      <w:r w:rsidRPr="000D704D">
        <w:rPr>
          <w:color w:val="000000" w:themeColor="text1"/>
          <w:sz w:val="20"/>
          <w:szCs w:val="20"/>
        </w:rPr>
        <w:t xml:space="preserve">Last updated: </w:t>
      </w:r>
      <w:r w:rsidR="004664CD" w:rsidRPr="000D704D">
        <w:rPr>
          <w:color w:val="000000" w:themeColor="text1"/>
          <w:sz w:val="20"/>
          <w:szCs w:val="20"/>
        </w:rPr>
        <w:t>12 May 2026</w:t>
      </w:r>
    </w:p>
    <w:p w14:paraId="7982FED5" w14:textId="77777777" w:rsidR="006103B3" w:rsidRPr="000D704D" w:rsidRDefault="00000000">
      <w:pPr>
        <w:spacing w:after="20"/>
        <w:rPr>
          <w:color w:val="000000" w:themeColor="text1"/>
        </w:rPr>
      </w:pPr>
      <w:r w:rsidRPr="000D704D">
        <w:rPr>
          <w:color w:val="000000" w:themeColor="text1"/>
          <w:sz w:val="20"/>
          <w:szCs w:val="20"/>
        </w:rPr>
        <w:t>Version 1.0</w:t>
      </w:r>
    </w:p>
    <w:p w14:paraId="31772718" w14:textId="77777777" w:rsidR="006103B3" w:rsidRPr="000D704D" w:rsidRDefault="006103B3">
      <w:pPr>
        <w:pBdr>
          <w:bottom w:val="single" w:sz="2" w:space="4" w:color="CCCCCC"/>
        </w:pBdr>
        <w:spacing w:after="160"/>
        <w:rPr>
          <w:color w:val="000000" w:themeColor="text1"/>
        </w:rPr>
      </w:pPr>
    </w:p>
    <w:p w14:paraId="432384FB" w14:textId="77777777" w:rsidR="006103B3" w:rsidRPr="000D704D" w:rsidRDefault="006103B3">
      <w:pPr>
        <w:spacing w:after="80"/>
        <w:rPr>
          <w:color w:val="000000" w:themeColor="text1"/>
        </w:rPr>
      </w:pPr>
    </w:p>
    <w:p w14:paraId="44B1730A" w14:textId="77777777" w:rsidR="006103B3" w:rsidRPr="000D704D" w:rsidRDefault="00000000">
      <w:pPr>
        <w:spacing w:after="120"/>
        <w:rPr>
          <w:color w:val="000000" w:themeColor="text1"/>
        </w:rPr>
      </w:pPr>
      <w:r w:rsidRPr="000D704D">
        <w:rPr>
          <w:color w:val="000000" w:themeColor="text1"/>
        </w:rPr>
        <w:t>Navia Health Ltd ("Navia", "we", "us", or "our"), registered in Ireland, operates the Navia disease intelligence platform (the "Service"). We are committed to protecting your personal data and complying fully with the General Data Protection Regulation (EU) 2016/679 ("GDPR"), the Irish Data Protection Act 2018, and all applicable data protection legislation.</w:t>
      </w:r>
    </w:p>
    <w:p w14:paraId="66972903" w14:textId="77777777" w:rsidR="006103B3" w:rsidRPr="000D704D" w:rsidRDefault="00000000">
      <w:pPr>
        <w:spacing w:after="120"/>
        <w:rPr>
          <w:color w:val="000000" w:themeColor="text1"/>
        </w:rPr>
      </w:pPr>
      <w:r w:rsidRPr="000D704D">
        <w:rPr>
          <w:color w:val="000000" w:themeColor="text1"/>
        </w:rPr>
        <w:t>This Privacy Policy explains what personal data we collect, why we collect it, how we use and protect it, and what rights you have under GDPR. Please read this policy carefully before using the Service.</w:t>
      </w:r>
    </w:p>
    <w:p w14:paraId="500D44E3" w14:textId="77777777" w:rsidR="006103B3" w:rsidRPr="000D704D" w:rsidRDefault="006103B3">
      <w:pPr>
        <w:spacing w:after="80"/>
        <w:rPr>
          <w:color w:val="000000" w:themeColor="text1"/>
        </w:rPr>
      </w:pPr>
    </w:p>
    <w:p w14:paraId="2818886A" w14:textId="77777777" w:rsidR="006103B3" w:rsidRPr="000D704D" w:rsidRDefault="00000000">
      <w:pPr>
        <w:pStyle w:val="Heading1"/>
        <w:rPr>
          <w:color w:val="000000" w:themeColor="text1"/>
        </w:rPr>
      </w:pPr>
      <w:r w:rsidRPr="000D704D">
        <w:rPr>
          <w:color w:val="000000" w:themeColor="text1"/>
        </w:rPr>
        <w:t>1. Who We Are — Data Controller</w:t>
      </w:r>
    </w:p>
    <w:p w14:paraId="50361D14" w14:textId="77777777" w:rsidR="006103B3" w:rsidRPr="000D704D" w:rsidRDefault="00000000">
      <w:pPr>
        <w:spacing w:after="120"/>
        <w:rPr>
          <w:color w:val="000000" w:themeColor="text1"/>
        </w:rPr>
      </w:pPr>
      <w:r w:rsidRPr="000D704D">
        <w:rPr>
          <w:color w:val="000000" w:themeColor="text1"/>
        </w:rPr>
        <w:t>Navia Health Ltd is the data controller responsible for your personal data.</w:t>
      </w:r>
    </w:p>
    <w:p w14:paraId="4706688C" w14:textId="77777777" w:rsidR="006103B3" w:rsidRPr="000D704D" w:rsidRDefault="006103B3">
      <w:pPr>
        <w:spacing w:after="40"/>
        <w:rPr>
          <w:color w:val="000000" w:themeColor="text1"/>
        </w:rPr>
      </w:pPr>
    </w:p>
    <w:p w14:paraId="5BE5AC5B" w14:textId="77777777" w:rsidR="006103B3" w:rsidRPr="000D704D" w:rsidRDefault="00000000">
      <w:pPr>
        <w:spacing w:after="120"/>
        <w:rPr>
          <w:color w:val="000000" w:themeColor="text1"/>
        </w:rPr>
      </w:pPr>
      <w:r w:rsidRPr="000D704D">
        <w:rPr>
          <w:color w:val="000000" w:themeColor="text1"/>
        </w:rPr>
        <w:t>Registered name: Navia Health Ltd</w:t>
      </w:r>
    </w:p>
    <w:p w14:paraId="151215AC" w14:textId="77777777" w:rsidR="006103B3" w:rsidRPr="000D704D" w:rsidRDefault="00000000">
      <w:pPr>
        <w:spacing w:after="120"/>
        <w:rPr>
          <w:color w:val="000000" w:themeColor="text1"/>
        </w:rPr>
      </w:pPr>
      <w:r w:rsidRPr="000D704D">
        <w:rPr>
          <w:color w:val="000000" w:themeColor="text1"/>
        </w:rPr>
        <w:t>Registered in: Ireland</w:t>
      </w:r>
    </w:p>
    <w:p w14:paraId="71D62F90" w14:textId="77777777" w:rsidR="006103B3" w:rsidRPr="000D704D" w:rsidRDefault="00000000">
      <w:pPr>
        <w:spacing w:after="120"/>
        <w:rPr>
          <w:color w:val="000000" w:themeColor="text1"/>
        </w:rPr>
      </w:pPr>
      <w:r w:rsidRPr="000D704D">
        <w:rPr>
          <w:color w:val="000000" w:themeColor="text1"/>
        </w:rPr>
        <w:t>Contact: privacy@navia.health</w:t>
      </w:r>
    </w:p>
    <w:p w14:paraId="40EB9D7A" w14:textId="77777777" w:rsidR="006103B3" w:rsidRPr="000D704D" w:rsidRDefault="00000000">
      <w:pPr>
        <w:spacing w:after="120"/>
        <w:rPr>
          <w:color w:val="000000" w:themeColor="text1"/>
        </w:rPr>
      </w:pPr>
      <w:r w:rsidRPr="000D704D">
        <w:rPr>
          <w:color w:val="000000" w:themeColor="text1"/>
        </w:rPr>
        <w:t>Website: navia.health</w:t>
      </w:r>
    </w:p>
    <w:p w14:paraId="2A051608" w14:textId="77777777" w:rsidR="006103B3" w:rsidRPr="000D704D" w:rsidRDefault="006103B3">
      <w:pPr>
        <w:spacing w:after="80"/>
        <w:rPr>
          <w:color w:val="000000" w:themeColor="text1"/>
        </w:rPr>
      </w:pPr>
    </w:p>
    <w:p w14:paraId="202AFA0A" w14:textId="77777777" w:rsidR="006103B3" w:rsidRPr="000D704D" w:rsidRDefault="00000000">
      <w:pPr>
        <w:pStyle w:val="Heading1"/>
        <w:rPr>
          <w:color w:val="000000" w:themeColor="text1"/>
        </w:rPr>
      </w:pPr>
      <w:r w:rsidRPr="000D704D">
        <w:rPr>
          <w:color w:val="000000" w:themeColor="text1"/>
        </w:rPr>
        <w:t>2. Data Protection Officer</w:t>
      </w:r>
    </w:p>
    <w:p w14:paraId="2BC70FE6" w14:textId="77777777" w:rsidR="006103B3" w:rsidRPr="000D704D" w:rsidRDefault="00000000">
      <w:pPr>
        <w:spacing w:after="120"/>
        <w:rPr>
          <w:color w:val="000000" w:themeColor="text1"/>
        </w:rPr>
      </w:pPr>
      <w:r w:rsidRPr="000D704D">
        <w:rPr>
          <w:color w:val="000000" w:themeColor="text1"/>
        </w:rPr>
        <w:t>Navia Health Ltd has assessed its processing activities in accordance with Article 37 GDPR. As an early-stage platform, we do not currently meet the thresholds requiring mandatory appointment of a Data Protection Officer (DPO). However, all data protection enquiries are handled directly by the founder and CEO, who is responsible for GDPR compliance within the organisation.</w:t>
      </w:r>
    </w:p>
    <w:p w14:paraId="0EB9C239" w14:textId="77777777" w:rsidR="006103B3" w:rsidRPr="000D704D" w:rsidRDefault="00000000">
      <w:pPr>
        <w:spacing w:after="120"/>
        <w:rPr>
          <w:color w:val="000000" w:themeColor="text1"/>
        </w:rPr>
      </w:pPr>
      <w:r w:rsidRPr="000D704D">
        <w:rPr>
          <w:color w:val="000000" w:themeColor="text1"/>
        </w:rPr>
        <w:t>If our processing activities expand to a scale or nature requiring DPO appointment, we will appoint one and update this policy accordingly.</w:t>
      </w:r>
    </w:p>
    <w:p w14:paraId="075CCC1E" w14:textId="77777777" w:rsidR="006103B3" w:rsidRPr="000D704D" w:rsidRDefault="00000000">
      <w:pPr>
        <w:spacing w:after="120"/>
        <w:rPr>
          <w:color w:val="000000" w:themeColor="text1"/>
        </w:rPr>
      </w:pPr>
      <w:r w:rsidRPr="000D704D">
        <w:rPr>
          <w:color w:val="000000" w:themeColor="text1"/>
        </w:rPr>
        <w:t>For all data protection questions: privacy@navia.health</w:t>
      </w:r>
    </w:p>
    <w:p w14:paraId="0E0F5259" w14:textId="77777777" w:rsidR="006103B3" w:rsidRPr="000D704D" w:rsidRDefault="006103B3">
      <w:pPr>
        <w:spacing w:after="80"/>
        <w:rPr>
          <w:color w:val="000000" w:themeColor="text1"/>
        </w:rPr>
      </w:pPr>
    </w:p>
    <w:p w14:paraId="7CD6E3B0" w14:textId="77777777" w:rsidR="006103B3" w:rsidRPr="000D704D" w:rsidRDefault="00000000">
      <w:pPr>
        <w:pStyle w:val="Heading1"/>
        <w:rPr>
          <w:color w:val="000000" w:themeColor="text1"/>
        </w:rPr>
      </w:pPr>
      <w:r w:rsidRPr="000D704D">
        <w:rPr>
          <w:color w:val="000000" w:themeColor="text1"/>
        </w:rPr>
        <w:t>3. Special Category Data — Important Notice</w:t>
      </w:r>
    </w:p>
    <w:p w14:paraId="5AE9E274" w14:textId="77777777" w:rsidR="006103B3" w:rsidRPr="000D704D" w:rsidRDefault="00000000">
      <w:pPr>
        <w:spacing w:after="120"/>
        <w:rPr>
          <w:color w:val="000000" w:themeColor="text1"/>
        </w:rPr>
      </w:pPr>
      <w:r w:rsidRPr="000D704D">
        <w:rPr>
          <w:color w:val="000000" w:themeColor="text1"/>
        </w:rPr>
        <w:t xml:space="preserve">Navia is a disease intelligence platform. We recognise that certain user interactions — including searches for specific rare diseases, browsing of disease pages, and use of the patient or </w:t>
      </w:r>
      <w:r w:rsidRPr="000D704D">
        <w:rPr>
          <w:color w:val="000000" w:themeColor="text1"/>
        </w:rPr>
        <w:lastRenderedPageBreak/>
        <w:t>caregiver subscription tiers — may constitute or reveal data concerning health, which is special category data under Article 9 GDPR.</w:t>
      </w:r>
    </w:p>
    <w:p w14:paraId="59A15E38" w14:textId="77777777" w:rsidR="006103B3" w:rsidRPr="000D704D" w:rsidRDefault="006103B3">
      <w:pPr>
        <w:spacing w:after="40"/>
        <w:rPr>
          <w:color w:val="000000" w:themeColor="text1"/>
        </w:rPr>
      </w:pPr>
    </w:p>
    <w:p w14:paraId="1EA881A2" w14:textId="77777777" w:rsidR="006103B3" w:rsidRPr="000D704D" w:rsidRDefault="00000000">
      <w:pPr>
        <w:pStyle w:val="Heading3"/>
        <w:rPr>
          <w:color w:val="000000" w:themeColor="text1"/>
        </w:rPr>
      </w:pPr>
      <w:r w:rsidRPr="000D704D">
        <w:rPr>
          <w:color w:val="000000" w:themeColor="text1"/>
        </w:rPr>
        <w:t>3a. What constitutes special category data on Navia</w:t>
      </w:r>
    </w:p>
    <w:p w14:paraId="4181DDEC" w14:textId="77777777" w:rsidR="006103B3" w:rsidRPr="000D704D" w:rsidRDefault="00000000">
      <w:pPr>
        <w:pStyle w:val="ListParagraph"/>
        <w:numPr>
          <w:ilvl w:val="0"/>
          <w:numId w:val="2"/>
        </w:numPr>
        <w:spacing w:after="80"/>
        <w:rPr>
          <w:color w:val="000000" w:themeColor="text1"/>
        </w:rPr>
      </w:pPr>
      <w:r w:rsidRPr="000D704D">
        <w:rPr>
          <w:color w:val="000000" w:themeColor="text1"/>
        </w:rPr>
        <w:t>Searches for specific diseases that may indicate a personal or family health condition</w:t>
      </w:r>
    </w:p>
    <w:p w14:paraId="2E2B77CF" w14:textId="77777777" w:rsidR="006103B3" w:rsidRPr="000D704D" w:rsidRDefault="00000000">
      <w:pPr>
        <w:pStyle w:val="ListParagraph"/>
        <w:numPr>
          <w:ilvl w:val="0"/>
          <w:numId w:val="2"/>
        </w:numPr>
        <w:spacing w:after="80"/>
        <w:rPr>
          <w:color w:val="000000" w:themeColor="text1"/>
        </w:rPr>
      </w:pPr>
      <w:r w:rsidRPr="000D704D">
        <w:rPr>
          <w:color w:val="000000" w:themeColor="text1"/>
        </w:rPr>
        <w:t>Use of the Patient or Caregiver subscription tier, which signals a health-related personal context</w:t>
      </w:r>
    </w:p>
    <w:p w14:paraId="54A00834" w14:textId="77777777" w:rsidR="006103B3" w:rsidRPr="000D704D" w:rsidRDefault="00000000">
      <w:pPr>
        <w:pStyle w:val="ListParagraph"/>
        <w:numPr>
          <w:ilvl w:val="0"/>
          <w:numId w:val="2"/>
        </w:numPr>
        <w:spacing w:after="80"/>
        <w:rPr>
          <w:color w:val="000000" w:themeColor="text1"/>
        </w:rPr>
      </w:pPr>
      <w:r w:rsidRPr="000D704D">
        <w:rPr>
          <w:color w:val="000000" w:themeColor="text1"/>
        </w:rPr>
        <w:t>Notes, annotations, or saved items relating to specific health conditions</w:t>
      </w:r>
    </w:p>
    <w:p w14:paraId="1A67A216" w14:textId="77777777" w:rsidR="006103B3" w:rsidRPr="000D704D" w:rsidRDefault="006103B3">
      <w:pPr>
        <w:spacing w:after="40"/>
        <w:rPr>
          <w:color w:val="000000" w:themeColor="text1"/>
        </w:rPr>
      </w:pPr>
    </w:p>
    <w:p w14:paraId="14C1EEC0" w14:textId="77777777" w:rsidR="006103B3" w:rsidRPr="000D704D" w:rsidRDefault="00000000">
      <w:pPr>
        <w:pStyle w:val="Heading3"/>
        <w:rPr>
          <w:color w:val="000000" w:themeColor="text1"/>
        </w:rPr>
      </w:pPr>
      <w:r w:rsidRPr="000D704D">
        <w:rPr>
          <w:color w:val="000000" w:themeColor="text1"/>
        </w:rPr>
        <w:t>3b. Legal basis for processing special category data</w:t>
      </w:r>
    </w:p>
    <w:p w14:paraId="6EF0FD89" w14:textId="77777777" w:rsidR="006103B3" w:rsidRPr="000D704D" w:rsidRDefault="00000000">
      <w:pPr>
        <w:spacing w:after="120"/>
        <w:rPr>
          <w:color w:val="000000" w:themeColor="text1"/>
        </w:rPr>
      </w:pPr>
      <w:r w:rsidRPr="000D704D">
        <w:rPr>
          <w:color w:val="000000" w:themeColor="text1"/>
        </w:rPr>
        <w:t>We process special category data only on the basis of explicit consent under Article 9(2)(a) GDPR. You will be asked to provide explicit, informed consent at account registration and, where applicable, at the point of specific health-related interactions. You may withdraw this consent at any time without affecting the lawfulness of prior processing.</w:t>
      </w:r>
    </w:p>
    <w:p w14:paraId="2E3B5D0B" w14:textId="77777777" w:rsidR="006103B3" w:rsidRPr="000D704D" w:rsidRDefault="006103B3">
      <w:pPr>
        <w:spacing w:after="80"/>
        <w:rPr>
          <w:color w:val="000000" w:themeColor="text1"/>
        </w:rPr>
      </w:pPr>
    </w:p>
    <w:p w14:paraId="366D349B" w14:textId="77777777" w:rsidR="006103B3" w:rsidRPr="000D704D" w:rsidRDefault="00000000">
      <w:pPr>
        <w:pStyle w:val="Heading1"/>
        <w:rPr>
          <w:color w:val="000000" w:themeColor="text1"/>
        </w:rPr>
      </w:pPr>
      <w:r w:rsidRPr="000D704D">
        <w:rPr>
          <w:color w:val="000000" w:themeColor="text1"/>
        </w:rPr>
        <w:t>4. What Personal Data We Collect</w:t>
      </w:r>
    </w:p>
    <w:p w14:paraId="1687EE56" w14:textId="77777777" w:rsidR="006103B3" w:rsidRPr="000D704D" w:rsidRDefault="00000000">
      <w:pPr>
        <w:pStyle w:val="Heading3"/>
        <w:rPr>
          <w:color w:val="000000" w:themeColor="text1"/>
        </w:rPr>
      </w:pPr>
      <w:r w:rsidRPr="000D704D">
        <w:rPr>
          <w:color w:val="000000" w:themeColor="text1"/>
        </w:rPr>
        <w:t>4a. Account information</w:t>
      </w:r>
    </w:p>
    <w:p w14:paraId="77CF0C6A" w14:textId="77777777" w:rsidR="006103B3" w:rsidRPr="000D704D" w:rsidRDefault="00000000">
      <w:pPr>
        <w:pStyle w:val="ListParagraph"/>
        <w:numPr>
          <w:ilvl w:val="0"/>
          <w:numId w:val="2"/>
        </w:numPr>
        <w:spacing w:after="80"/>
        <w:rPr>
          <w:color w:val="000000" w:themeColor="text1"/>
        </w:rPr>
      </w:pPr>
      <w:r w:rsidRPr="000D704D">
        <w:rPr>
          <w:color w:val="000000" w:themeColor="text1"/>
        </w:rPr>
        <w:t>Email address</w:t>
      </w:r>
    </w:p>
    <w:p w14:paraId="5D1C4108" w14:textId="77777777" w:rsidR="006103B3" w:rsidRPr="000D704D" w:rsidRDefault="00000000">
      <w:pPr>
        <w:pStyle w:val="ListParagraph"/>
        <w:numPr>
          <w:ilvl w:val="0"/>
          <w:numId w:val="2"/>
        </w:numPr>
        <w:spacing w:after="80"/>
        <w:rPr>
          <w:color w:val="000000" w:themeColor="text1"/>
        </w:rPr>
      </w:pPr>
      <w:r w:rsidRPr="000D704D">
        <w:rPr>
          <w:color w:val="000000" w:themeColor="text1"/>
        </w:rPr>
        <w:t>Name (if provided at registration)</w:t>
      </w:r>
    </w:p>
    <w:p w14:paraId="1FF7B9C8" w14:textId="77777777" w:rsidR="006103B3" w:rsidRPr="000D704D" w:rsidRDefault="00000000">
      <w:pPr>
        <w:pStyle w:val="ListParagraph"/>
        <w:numPr>
          <w:ilvl w:val="0"/>
          <w:numId w:val="2"/>
        </w:numPr>
        <w:spacing w:after="80"/>
        <w:rPr>
          <w:color w:val="000000" w:themeColor="text1"/>
        </w:rPr>
      </w:pPr>
      <w:r w:rsidRPr="000D704D">
        <w:rPr>
          <w:color w:val="000000" w:themeColor="text1"/>
        </w:rPr>
        <w:t>Subscription tier selected (Orient, Operate, Command, Patient, Academic, Patient Organisation)</w:t>
      </w:r>
    </w:p>
    <w:p w14:paraId="7D9EFA61" w14:textId="77777777" w:rsidR="006103B3" w:rsidRPr="000D704D" w:rsidRDefault="00000000">
      <w:pPr>
        <w:pStyle w:val="ListParagraph"/>
        <w:numPr>
          <w:ilvl w:val="0"/>
          <w:numId w:val="2"/>
        </w:numPr>
        <w:spacing w:after="80"/>
        <w:rPr>
          <w:color w:val="000000" w:themeColor="text1"/>
        </w:rPr>
      </w:pPr>
      <w:r w:rsidRPr="000D704D">
        <w:rPr>
          <w:color w:val="000000" w:themeColor="text1"/>
        </w:rPr>
        <w:t>Login credentials (stored in encrypted form — we never store plaintext passwords)</w:t>
      </w:r>
    </w:p>
    <w:p w14:paraId="56F85B71" w14:textId="77777777" w:rsidR="006103B3" w:rsidRPr="000D704D" w:rsidRDefault="006103B3">
      <w:pPr>
        <w:spacing w:after="40"/>
        <w:rPr>
          <w:color w:val="000000" w:themeColor="text1"/>
        </w:rPr>
      </w:pPr>
    </w:p>
    <w:p w14:paraId="10D8CFCD" w14:textId="77777777" w:rsidR="006103B3" w:rsidRPr="000D704D" w:rsidRDefault="00000000">
      <w:pPr>
        <w:pStyle w:val="Heading3"/>
        <w:rPr>
          <w:color w:val="000000" w:themeColor="text1"/>
        </w:rPr>
      </w:pPr>
      <w:r w:rsidRPr="000D704D">
        <w:rPr>
          <w:color w:val="000000" w:themeColor="text1"/>
        </w:rPr>
        <w:t>4b. Usage data</w:t>
      </w:r>
    </w:p>
    <w:p w14:paraId="68A8A577" w14:textId="77777777" w:rsidR="006103B3" w:rsidRPr="000D704D" w:rsidRDefault="00000000">
      <w:pPr>
        <w:pStyle w:val="ListParagraph"/>
        <w:numPr>
          <w:ilvl w:val="0"/>
          <w:numId w:val="2"/>
        </w:numPr>
        <w:spacing w:after="80"/>
        <w:rPr>
          <w:color w:val="000000" w:themeColor="text1"/>
        </w:rPr>
      </w:pPr>
      <w:r w:rsidRPr="000D704D">
        <w:rPr>
          <w:color w:val="000000" w:themeColor="text1"/>
        </w:rPr>
        <w:t>Disease pages viewed and searches performed</w:t>
      </w:r>
    </w:p>
    <w:p w14:paraId="28E0B6B3" w14:textId="77777777" w:rsidR="006103B3" w:rsidRPr="000D704D" w:rsidRDefault="00000000">
      <w:pPr>
        <w:pStyle w:val="ListParagraph"/>
        <w:numPr>
          <w:ilvl w:val="0"/>
          <w:numId w:val="2"/>
        </w:numPr>
        <w:spacing w:after="80"/>
        <w:rPr>
          <w:color w:val="000000" w:themeColor="text1"/>
        </w:rPr>
      </w:pPr>
      <w:r w:rsidRPr="000D704D">
        <w:rPr>
          <w:color w:val="000000" w:themeColor="text1"/>
        </w:rPr>
        <w:t>Actions performed on the platform (panel interactions, AI queries, comparisons, alerts, notes)</w:t>
      </w:r>
    </w:p>
    <w:p w14:paraId="4FCDBD27" w14:textId="77777777" w:rsidR="006103B3" w:rsidRPr="000D704D" w:rsidRDefault="00000000">
      <w:pPr>
        <w:pStyle w:val="ListParagraph"/>
        <w:numPr>
          <w:ilvl w:val="0"/>
          <w:numId w:val="2"/>
        </w:numPr>
        <w:spacing w:after="80"/>
        <w:rPr>
          <w:color w:val="000000" w:themeColor="text1"/>
        </w:rPr>
      </w:pPr>
      <w:r w:rsidRPr="000D704D">
        <w:rPr>
          <w:color w:val="000000" w:themeColor="text1"/>
        </w:rPr>
        <w:t>Session duration, frequency of use, and feature engagement patterns</w:t>
      </w:r>
    </w:p>
    <w:p w14:paraId="22DE6FFD" w14:textId="77777777" w:rsidR="006103B3" w:rsidRPr="000D704D" w:rsidRDefault="00000000">
      <w:pPr>
        <w:pStyle w:val="ListParagraph"/>
        <w:numPr>
          <w:ilvl w:val="0"/>
          <w:numId w:val="2"/>
        </w:numPr>
        <w:spacing w:after="80"/>
        <w:rPr>
          <w:color w:val="000000" w:themeColor="text1"/>
        </w:rPr>
      </w:pPr>
      <w:r w:rsidRPr="000D704D">
        <w:rPr>
          <w:color w:val="000000" w:themeColor="text1"/>
        </w:rPr>
        <w:t>Disease areas of interest derived from platform usage</w:t>
      </w:r>
    </w:p>
    <w:p w14:paraId="4A7B0930" w14:textId="77777777" w:rsidR="006103B3" w:rsidRPr="000D704D" w:rsidRDefault="006103B3">
      <w:pPr>
        <w:spacing w:after="40"/>
        <w:rPr>
          <w:color w:val="000000" w:themeColor="text1"/>
        </w:rPr>
      </w:pPr>
    </w:p>
    <w:p w14:paraId="6D1C4CD4" w14:textId="77777777" w:rsidR="006103B3" w:rsidRPr="000D704D" w:rsidRDefault="00000000">
      <w:pPr>
        <w:pStyle w:val="Heading3"/>
        <w:rPr>
          <w:color w:val="000000" w:themeColor="text1"/>
        </w:rPr>
      </w:pPr>
      <w:r w:rsidRPr="000D704D">
        <w:rPr>
          <w:color w:val="000000" w:themeColor="text1"/>
        </w:rPr>
        <w:t>4c. User-generated content</w:t>
      </w:r>
    </w:p>
    <w:p w14:paraId="71BC4B69" w14:textId="77777777" w:rsidR="006103B3" w:rsidRPr="000D704D" w:rsidRDefault="00000000">
      <w:pPr>
        <w:pStyle w:val="ListParagraph"/>
        <w:numPr>
          <w:ilvl w:val="0"/>
          <w:numId w:val="2"/>
        </w:numPr>
        <w:spacing w:after="80"/>
        <w:rPr>
          <w:color w:val="000000" w:themeColor="text1"/>
        </w:rPr>
      </w:pPr>
      <w:r w:rsidRPr="000D704D">
        <w:rPr>
          <w:color w:val="000000" w:themeColor="text1"/>
        </w:rPr>
        <w:t>Notes and annotations created within the platform</w:t>
      </w:r>
    </w:p>
    <w:p w14:paraId="5FA5F8A6" w14:textId="77777777" w:rsidR="006103B3" w:rsidRPr="000D704D" w:rsidRDefault="00000000">
      <w:pPr>
        <w:pStyle w:val="ListParagraph"/>
        <w:numPr>
          <w:ilvl w:val="0"/>
          <w:numId w:val="2"/>
        </w:numPr>
        <w:spacing w:after="80"/>
        <w:rPr>
          <w:color w:val="000000" w:themeColor="text1"/>
        </w:rPr>
      </w:pPr>
      <w:r w:rsidRPr="000D704D">
        <w:rPr>
          <w:color w:val="000000" w:themeColor="text1"/>
        </w:rPr>
        <w:t>Saved diseases, watchlists, and alerts</w:t>
      </w:r>
    </w:p>
    <w:p w14:paraId="7D40DBBB" w14:textId="77777777" w:rsidR="006103B3" w:rsidRPr="000D704D" w:rsidRDefault="00000000">
      <w:pPr>
        <w:pStyle w:val="ListParagraph"/>
        <w:numPr>
          <w:ilvl w:val="0"/>
          <w:numId w:val="2"/>
        </w:numPr>
        <w:spacing w:after="80"/>
        <w:rPr>
          <w:color w:val="000000" w:themeColor="text1"/>
        </w:rPr>
      </w:pPr>
      <w:r w:rsidRPr="000D704D">
        <w:rPr>
          <w:color w:val="000000" w:themeColor="text1"/>
        </w:rPr>
        <w:t>Comparison workspace configurations</w:t>
      </w:r>
    </w:p>
    <w:p w14:paraId="3C3A968F" w14:textId="77777777" w:rsidR="006103B3" w:rsidRPr="000D704D" w:rsidRDefault="006103B3">
      <w:pPr>
        <w:spacing w:after="40"/>
        <w:rPr>
          <w:color w:val="000000" w:themeColor="text1"/>
        </w:rPr>
      </w:pPr>
    </w:p>
    <w:p w14:paraId="2EAECEEE" w14:textId="77777777" w:rsidR="006103B3" w:rsidRPr="000D704D" w:rsidRDefault="00000000">
      <w:pPr>
        <w:pStyle w:val="Heading3"/>
        <w:rPr>
          <w:color w:val="000000" w:themeColor="text1"/>
        </w:rPr>
      </w:pPr>
      <w:r w:rsidRPr="000D704D">
        <w:rPr>
          <w:color w:val="000000" w:themeColor="text1"/>
        </w:rPr>
        <w:t>4d. Technical data</w:t>
      </w:r>
    </w:p>
    <w:p w14:paraId="03455848" w14:textId="77777777" w:rsidR="006103B3" w:rsidRPr="000D704D" w:rsidRDefault="00000000">
      <w:pPr>
        <w:pStyle w:val="ListParagraph"/>
        <w:numPr>
          <w:ilvl w:val="0"/>
          <w:numId w:val="2"/>
        </w:numPr>
        <w:spacing w:after="80"/>
        <w:rPr>
          <w:color w:val="000000" w:themeColor="text1"/>
        </w:rPr>
      </w:pPr>
      <w:r w:rsidRPr="000D704D">
        <w:rPr>
          <w:color w:val="000000" w:themeColor="text1"/>
        </w:rPr>
        <w:t>IP address</w:t>
      </w:r>
    </w:p>
    <w:p w14:paraId="16587124" w14:textId="77777777" w:rsidR="006103B3" w:rsidRPr="000D704D" w:rsidRDefault="00000000">
      <w:pPr>
        <w:pStyle w:val="ListParagraph"/>
        <w:numPr>
          <w:ilvl w:val="0"/>
          <w:numId w:val="2"/>
        </w:numPr>
        <w:spacing w:after="80"/>
        <w:rPr>
          <w:color w:val="000000" w:themeColor="text1"/>
        </w:rPr>
      </w:pPr>
      <w:r w:rsidRPr="000D704D">
        <w:rPr>
          <w:color w:val="000000" w:themeColor="text1"/>
        </w:rPr>
        <w:lastRenderedPageBreak/>
        <w:t>Device type and operating system</w:t>
      </w:r>
    </w:p>
    <w:p w14:paraId="59F92149" w14:textId="77777777" w:rsidR="006103B3" w:rsidRPr="000D704D" w:rsidRDefault="00000000">
      <w:pPr>
        <w:pStyle w:val="ListParagraph"/>
        <w:numPr>
          <w:ilvl w:val="0"/>
          <w:numId w:val="2"/>
        </w:numPr>
        <w:spacing w:after="80"/>
        <w:rPr>
          <w:color w:val="000000" w:themeColor="text1"/>
        </w:rPr>
      </w:pPr>
      <w:r w:rsidRPr="000D704D">
        <w:rPr>
          <w:color w:val="000000" w:themeColor="text1"/>
        </w:rPr>
        <w:t>Browser type and version</w:t>
      </w:r>
    </w:p>
    <w:p w14:paraId="457EC8A2" w14:textId="77777777" w:rsidR="006103B3" w:rsidRPr="000D704D" w:rsidRDefault="00000000">
      <w:pPr>
        <w:pStyle w:val="ListParagraph"/>
        <w:numPr>
          <w:ilvl w:val="0"/>
          <w:numId w:val="2"/>
        </w:numPr>
        <w:spacing w:after="80"/>
        <w:rPr>
          <w:color w:val="000000" w:themeColor="text1"/>
        </w:rPr>
      </w:pPr>
      <w:r w:rsidRPr="000D704D">
        <w:rPr>
          <w:color w:val="000000" w:themeColor="text1"/>
        </w:rPr>
        <w:t>Referring URL</w:t>
      </w:r>
    </w:p>
    <w:p w14:paraId="2BE3C3E6" w14:textId="77777777" w:rsidR="006103B3" w:rsidRPr="000D704D" w:rsidRDefault="00000000">
      <w:pPr>
        <w:pStyle w:val="ListParagraph"/>
        <w:numPr>
          <w:ilvl w:val="0"/>
          <w:numId w:val="2"/>
        </w:numPr>
        <w:spacing w:after="80"/>
        <w:rPr>
          <w:color w:val="000000" w:themeColor="text1"/>
        </w:rPr>
      </w:pPr>
      <w:r w:rsidRPr="000D704D">
        <w:rPr>
          <w:color w:val="000000" w:themeColor="text1"/>
        </w:rPr>
        <w:t>Approximate geographic location derived from IP address (country and city level only)</w:t>
      </w:r>
    </w:p>
    <w:p w14:paraId="5BDF0840" w14:textId="77777777" w:rsidR="006103B3" w:rsidRPr="000D704D" w:rsidRDefault="006103B3">
      <w:pPr>
        <w:spacing w:after="40"/>
        <w:rPr>
          <w:color w:val="000000" w:themeColor="text1"/>
        </w:rPr>
      </w:pPr>
    </w:p>
    <w:p w14:paraId="164C53D9" w14:textId="77777777" w:rsidR="006103B3" w:rsidRPr="000D704D" w:rsidRDefault="00000000">
      <w:pPr>
        <w:pStyle w:val="Heading3"/>
        <w:rPr>
          <w:color w:val="000000" w:themeColor="text1"/>
        </w:rPr>
      </w:pPr>
      <w:r w:rsidRPr="000D704D">
        <w:rPr>
          <w:color w:val="000000" w:themeColor="text1"/>
        </w:rPr>
        <w:t>4e. Payment data</w:t>
      </w:r>
    </w:p>
    <w:p w14:paraId="09396215" w14:textId="77777777" w:rsidR="006103B3" w:rsidRPr="000D704D" w:rsidRDefault="00000000">
      <w:pPr>
        <w:spacing w:after="120"/>
        <w:rPr>
          <w:color w:val="000000" w:themeColor="text1"/>
        </w:rPr>
      </w:pPr>
      <w:r w:rsidRPr="000D704D">
        <w:rPr>
          <w:color w:val="000000" w:themeColor="text1"/>
        </w:rPr>
        <w:t>We use third-party payment processors (such as Stripe) to handle subscription payments. We do not store your full payment card details. Payment processors operate under their own privacy policies and are contractually bound to process payment data only as instructed.</w:t>
      </w:r>
    </w:p>
    <w:p w14:paraId="79748695" w14:textId="77777777" w:rsidR="006103B3" w:rsidRPr="000D704D" w:rsidRDefault="006103B3">
      <w:pPr>
        <w:spacing w:after="40"/>
        <w:rPr>
          <w:color w:val="000000" w:themeColor="text1"/>
        </w:rPr>
      </w:pPr>
    </w:p>
    <w:p w14:paraId="065C02DC" w14:textId="77777777" w:rsidR="006103B3" w:rsidRPr="000D704D" w:rsidRDefault="00000000">
      <w:pPr>
        <w:pStyle w:val="Heading3"/>
        <w:rPr>
          <w:color w:val="000000" w:themeColor="text1"/>
        </w:rPr>
      </w:pPr>
      <w:r w:rsidRPr="000D704D">
        <w:rPr>
          <w:color w:val="000000" w:themeColor="text1"/>
        </w:rPr>
        <w:t>4f. Communications data</w:t>
      </w:r>
    </w:p>
    <w:p w14:paraId="12E667A6" w14:textId="77777777" w:rsidR="006103B3" w:rsidRPr="000D704D" w:rsidRDefault="00000000">
      <w:pPr>
        <w:pStyle w:val="ListParagraph"/>
        <w:numPr>
          <w:ilvl w:val="0"/>
          <w:numId w:val="2"/>
        </w:numPr>
        <w:spacing w:after="80"/>
        <w:rPr>
          <w:color w:val="000000" w:themeColor="text1"/>
        </w:rPr>
      </w:pPr>
      <w:r w:rsidRPr="000D704D">
        <w:rPr>
          <w:color w:val="000000" w:themeColor="text1"/>
        </w:rPr>
        <w:t>Emails you send to us at privacy@navia.health or support channels</w:t>
      </w:r>
    </w:p>
    <w:p w14:paraId="2C2307D9" w14:textId="77777777" w:rsidR="006103B3" w:rsidRPr="000D704D" w:rsidRDefault="00000000">
      <w:pPr>
        <w:pStyle w:val="ListParagraph"/>
        <w:numPr>
          <w:ilvl w:val="0"/>
          <w:numId w:val="2"/>
        </w:numPr>
        <w:spacing w:after="80"/>
        <w:rPr>
          <w:color w:val="000000" w:themeColor="text1"/>
        </w:rPr>
      </w:pPr>
      <w:r w:rsidRPr="000D704D">
        <w:rPr>
          <w:color w:val="000000" w:themeColor="text1"/>
        </w:rPr>
        <w:t>Feedback and support requests</w:t>
      </w:r>
    </w:p>
    <w:p w14:paraId="56F0E0AE" w14:textId="77777777" w:rsidR="006103B3" w:rsidRPr="000D704D" w:rsidRDefault="006103B3">
      <w:pPr>
        <w:spacing w:after="80"/>
        <w:rPr>
          <w:color w:val="000000" w:themeColor="text1"/>
        </w:rPr>
      </w:pPr>
    </w:p>
    <w:p w14:paraId="71E84CAC" w14:textId="77777777" w:rsidR="006103B3" w:rsidRPr="000D704D" w:rsidRDefault="00000000">
      <w:pPr>
        <w:pStyle w:val="Heading1"/>
        <w:rPr>
          <w:color w:val="000000" w:themeColor="text1"/>
        </w:rPr>
      </w:pPr>
      <w:r w:rsidRPr="000D704D">
        <w:rPr>
          <w:color w:val="000000" w:themeColor="text1"/>
        </w:rPr>
        <w:t>5. How We Use Your Personal Data</w:t>
      </w:r>
    </w:p>
    <w:p w14:paraId="77D25E0A" w14:textId="77777777" w:rsidR="006103B3" w:rsidRPr="000D704D" w:rsidRDefault="00000000">
      <w:pPr>
        <w:pStyle w:val="Heading3"/>
        <w:rPr>
          <w:color w:val="000000" w:themeColor="text1"/>
        </w:rPr>
      </w:pPr>
      <w:r w:rsidRPr="000D704D">
        <w:rPr>
          <w:color w:val="000000" w:themeColor="text1"/>
        </w:rPr>
        <w:t>5a. Primary purposes</w:t>
      </w:r>
    </w:p>
    <w:p w14:paraId="5C6E93B3" w14:textId="77777777" w:rsidR="006103B3" w:rsidRPr="000D704D" w:rsidRDefault="00000000">
      <w:pPr>
        <w:pStyle w:val="ListParagraph"/>
        <w:numPr>
          <w:ilvl w:val="0"/>
          <w:numId w:val="2"/>
        </w:numPr>
        <w:spacing w:after="80"/>
        <w:rPr>
          <w:color w:val="000000" w:themeColor="text1"/>
        </w:rPr>
      </w:pPr>
      <w:r w:rsidRPr="000D704D">
        <w:rPr>
          <w:color w:val="000000" w:themeColor="text1"/>
        </w:rPr>
        <w:t>Providing, operating, and maintaining the Navia platform</w:t>
      </w:r>
    </w:p>
    <w:p w14:paraId="192533CA" w14:textId="77777777" w:rsidR="006103B3" w:rsidRPr="000D704D" w:rsidRDefault="00000000">
      <w:pPr>
        <w:pStyle w:val="ListParagraph"/>
        <w:numPr>
          <w:ilvl w:val="0"/>
          <w:numId w:val="2"/>
        </w:numPr>
        <w:spacing w:after="80"/>
        <w:rPr>
          <w:color w:val="000000" w:themeColor="text1"/>
        </w:rPr>
      </w:pPr>
      <w:r w:rsidRPr="000D704D">
        <w:rPr>
          <w:color w:val="000000" w:themeColor="text1"/>
        </w:rPr>
        <w:t>Managing your account, subscription, and billing</w:t>
      </w:r>
    </w:p>
    <w:p w14:paraId="4340863A" w14:textId="77777777" w:rsidR="006103B3" w:rsidRPr="000D704D" w:rsidRDefault="00000000">
      <w:pPr>
        <w:pStyle w:val="ListParagraph"/>
        <w:numPr>
          <w:ilvl w:val="0"/>
          <w:numId w:val="2"/>
        </w:numPr>
        <w:spacing w:after="80"/>
        <w:rPr>
          <w:color w:val="000000" w:themeColor="text1"/>
        </w:rPr>
      </w:pPr>
      <w:r w:rsidRPr="000D704D">
        <w:rPr>
          <w:color w:val="000000" w:themeColor="text1"/>
        </w:rPr>
        <w:t>Enabling platform features including alerts, notes, saved items, AI queries, and comparisons</w:t>
      </w:r>
    </w:p>
    <w:p w14:paraId="1D6A419A" w14:textId="77777777" w:rsidR="006103B3" w:rsidRPr="000D704D" w:rsidRDefault="00000000">
      <w:pPr>
        <w:pStyle w:val="ListParagraph"/>
        <w:numPr>
          <w:ilvl w:val="0"/>
          <w:numId w:val="2"/>
        </w:numPr>
        <w:spacing w:after="80"/>
        <w:rPr>
          <w:color w:val="000000" w:themeColor="text1"/>
        </w:rPr>
      </w:pPr>
      <w:r w:rsidRPr="000D704D">
        <w:rPr>
          <w:color w:val="000000" w:themeColor="text1"/>
        </w:rPr>
        <w:t>Processing payments and managing subscription renewals</w:t>
      </w:r>
    </w:p>
    <w:p w14:paraId="10638551" w14:textId="77777777" w:rsidR="006103B3" w:rsidRPr="000D704D" w:rsidRDefault="00000000">
      <w:pPr>
        <w:pStyle w:val="ListParagraph"/>
        <w:numPr>
          <w:ilvl w:val="0"/>
          <w:numId w:val="2"/>
        </w:numPr>
        <w:spacing w:after="80"/>
        <w:rPr>
          <w:color w:val="000000" w:themeColor="text1"/>
        </w:rPr>
      </w:pPr>
      <w:r w:rsidRPr="000D704D">
        <w:rPr>
          <w:color w:val="000000" w:themeColor="text1"/>
        </w:rPr>
        <w:t>Sending account-related communications including subscription confirmations and renewal notices</w:t>
      </w:r>
    </w:p>
    <w:p w14:paraId="54FE3C22" w14:textId="77777777" w:rsidR="006103B3" w:rsidRPr="000D704D" w:rsidRDefault="006103B3">
      <w:pPr>
        <w:spacing w:after="40"/>
        <w:rPr>
          <w:color w:val="000000" w:themeColor="text1"/>
        </w:rPr>
      </w:pPr>
    </w:p>
    <w:p w14:paraId="3855B7AC" w14:textId="77777777" w:rsidR="006103B3" w:rsidRPr="000D704D" w:rsidRDefault="00000000">
      <w:pPr>
        <w:pStyle w:val="Heading3"/>
        <w:rPr>
          <w:color w:val="000000" w:themeColor="text1"/>
        </w:rPr>
      </w:pPr>
      <w:r w:rsidRPr="000D704D">
        <w:rPr>
          <w:color w:val="000000" w:themeColor="text1"/>
        </w:rPr>
        <w:t>5b. Platform improvement</w:t>
      </w:r>
    </w:p>
    <w:p w14:paraId="4B741AB9" w14:textId="77777777" w:rsidR="006103B3" w:rsidRPr="000D704D" w:rsidRDefault="00000000">
      <w:pPr>
        <w:pStyle w:val="ListParagraph"/>
        <w:numPr>
          <w:ilvl w:val="0"/>
          <w:numId w:val="2"/>
        </w:numPr>
        <w:spacing w:after="80"/>
        <w:rPr>
          <w:color w:val="000000" w:themeColor="text1"/>
        </w:rPr>
      </w:pPr>
      <w:r w:rsidRPr="000D704D">
        <w:rPr>
          <w:color w:val="000000" w:themeColor="text1"/>
        </w:rPr>
        <w:t>Analysing aggregated and anonymised usage patterns to improve platform features</w:t>
      </w:r>
    </w:p>
    <w:p w14:paraId="403211DC" w14:textId="77777777" w:rsidR="006103B3" w:rsidRPr="000D704D" w:rsidRDefault="00000000">
      <w:pPr>
        <w:pStyle w:val="ListParagraph"/>
        <w:numPr>
          <w:ilvl w:val="0"/>
          <w:numId w:val="2"/>
        </w:numPr>
        <w:spacing w:after="80"/>
        <w:rPr>
          <w:color w:val="000000" w:themeColor="text1"/>
        </w:rPr>
      </w:pPr>
      <w:r w:rsidRPr="000D704D">
        <w:rPr>
          <w:color w:val="000000" w:themeColor="text1"/>
        </w:rPr>
        <w:t>Identifying technical issues and improving system performance</w:t>
      </w:r>
    </w:p>
    <w:p w14:paraId="5BE3F8EA" w14:textId="77777777" w:rsidR="006103B3" w:rsidRPr="000D704D" w:rsidRDefault="00000000">
      <w:pPr>
        <w:pStyle w:val="ListParagraph"/>
        <w:numPr>
          <w:ilvl w:val="0"/>
          <w:numId w:val="2"/>
        </w:numPr>
        <w:spacing w:after="80"/>
        <w:rPr>
          <w:color w:val="000000" w:themeColor="text1"/>
        </w:rPr>
      </w:pPr>
      <w:r w:rsidRPr="000D704D">
        <w:rPr>
          <w:color w:val="000000" w:themeColor="text1"/>
        </w:rPr>
        <w:t>Developing new features and intelligence capabilities</w:t>
      </w:r>
    </w:p>
    <w:p w14:paraId="53D11A99" w14:textId="77777777" w:rsidR="006103B3" w:rsidRPr="000D704D" w:rsidRDefault="006103B3">
      <w:pPr>
        <w:spacing w:after="40"/>
        <w:rPr>
          <w:color w:val="000000" w:themeColor="text1"/>
        </w:rPr>
      </w:pPr>
    </w:p>
    <w:p w14:paraId="17F64783" w14:textId="77777777" w:rsidR="006103B3" w:rsidRPr="000D704D" w:rsidRDefault="00000000">
      <w:pPr>
        <w:pStyle w:val="Heading3"/>
        <w:rPr>
          <w:color w:val="000000" w:themeColor="text1"/>
        </w:rPr>
      </w:pPr>
      <w:r w:rsidRPr="000D704D">
        <w:rPr>
          <w:color w:val="000000" w:themeColor="text1"/>
        </w:rPr>
        <w:t>5c. Security and compliance</w:t>
      </w:r>
    </w:p>
    <w:p w14:paraId="5E221D97" w14:textId="77777777" w:rsidR="006103B3" w:rsidRPr="000D704D" w:rsidRDefault="00000000">
      <w:pPr>
        <w:pStyle w:val="ListParagraph"/>
        <w:numPr>
          <w:ilvl w:val="0"/>
          <w:numId w:val="2"/>
        </w:numPr>
        <w:spacing w:after="80"/>
        <w:rPr>
          <w:color w:val="000000" w:themeColor="text1"/>
        </w:rPr>
      </w:pPr>
      <w:r w:rsidRPr="000D704D">
        <w:rPr>
          <w:color w:val="000000" w:themeColor="text1"/>
        </w:rPr>
        <w:t>Monitoring for and preventing unauthorised access, fraud, and abuse</w:t>
      </w:r>
    </w:p>
    <w:p w14:paraId="5DD6221D" w14:textId="77777777" w:rsidR="006103B3" w:rsidRPr="000D704D" w:rsidRDefault="00000000">
      <w:pPr>
        <w:pStyle w:val="ListParagraph"/>
        <w:numPr>
          <w:ilvl w:val="0"/>
          <w:numId w:val="2"/>
        </w:numPr>
        <w:spacing w:after="80"/>
        <w:rPr>
          <w:color w:val="000000" w:themeColor="text1"/>
        </w:rPr>
      </w:pPr>
      <w:r w:rsidRPr="000D704D">
        <w:rPr>
          <w:color w:val="000000" w:themeColor="text1"/>
        </w:rPr>
        <w:t>Ensuring compliance with our Terms of Service</w:t>
      </w:r>
    </w:p>
    <w:p w14:paraId="7AE7A0D4" w14:textId="77777777" w:rsidR="006103B3" w:rsidRPr="000D704D" w:rsidRDefault="00000000">
      <w:pPr>
        <w:pStyle w:val="ListParagraph"/>
        <w:numPr>
          <w:ilvl w:val="0"/>
          <w:numId w:val="2"/>
        </w:numPr>
        <w:spacing w:after="80"/>
        <w:rPr>
          <w:color w:val="000000" w:themeColor="text1"/>
        </w:rPr>
      </w:pPr>
      <w:r w:rsidRPr="000D704D">
        <w:rPr>
          <w:color w:val="000000" w:themeColor="text1"/>
        </w:rPr>
        <w:t>Meeting legal obligations including responses to lawful regulatory requests</w:t>
      </w:r>
    </w:p>
    <w:p w14:paraId="2311CD3E" w14:textId="77777777" w:rsidR="006103B3" w:rsidRPr="000D704D" w:rsidRDefault="006103B3">
      <w:pPr>
        <w:spacing w:after="80"/>
        <w:rPr>
          <w:color w:val="000000" w:themeColor="text1"/>
        </w:rPr>
      </w:pPr>
    </w:p>
    <w:p w14:paraId="7CFB9079" w14:textId="77777777" w:rsidR="006103B3" w:rsidRPr="000D704D" w:rsidRDefault="00000000">
      <w:pPr>
        <w:pStyle w:val="Heading1"/>
        <w:rPr>
          <w:color w:val="000000" w:themeColor="text1"/>
        </w:rPr>
      </w:pPr>
      <w:r w:rsidRPr="000D704D">
        <w:rPr>
          <w:color w:val="000000" w:themeColor="text1"/>
        </w:rPr>
        <w:t>6. Legal Bases for Processing</w:t>
      </w:r>
    </w:p>
    <w:p w14:paraId="59E260B3" w14:textId="77777777" w:rsidR="006103B3" w:rsidRPr="000D704D" w:rsidRDefault="00000000">
      <w:pPr>
        <w:spacing w:after="120"/>
        <w:rPr>
          <w:color w:val="000000" w:themeColor="text1"/>
        </w:rPr>
      </w:pPr>
      <w:r w:rsidRPr="000D704D">
        <w:rPr>
          <w:color w:val="000000" w:themeColor="text1"/>
        </w:rPr>
        <w:lastRenderedPageBreak/>
        <w:t>Under GDPR Article 6, we process your personal data on the following legal bases:</w:t>
      </w:r>
    </w:p>
    <w:p w14:paraId="5CA49EB3" w14:textId="77777777" w:rsidR="006103B3" w:rsidRPr="000D704D" w:rsidRDefault="006103B3">
      <w:pPr>
        <w:spacing w:after="40"/>
        <w:rPr>
          <w:color w:val="000000" w:themeColor="text1"/>
        </w:rPr>
      </w:pPr>
    </w:p>
    <w:p w14:paraId="3269138B" w14:textId="77777777" w:rsidR="006103B3" w:rsidRPr="000D704D" w:rsidRDefault="00000000">
      <w:pPr>
        <w:pStyle w:val="Heading3"/>
        <w:rPr>
          <w:color w:val="000000" w:themeColor="text1"/>
        </w:rPr>
      </w:pPr>
      <w:r w:rsidRPr="000D704D">
        <w:rPr>
          <w:color w:val="000000" w:themeColor="text1"/>
        </w:rPr>
        <w:t>6a. Contractual necessity — Article 6(1)(b)</w:t>
      </w:r>
    </w:p>
    <w:p w14:paraId="041F7F29" w14:textId="77777777" w:rsidR="006103B3" w:rsidRPr="000D704D" w:rsidRDefault="00000000">
      <w:pPr>
        <w:spacing w:after="120"/>
        <w:rPr>
          <w:color w:val="000000" w:themeColor="text1"/>
        </w:rPr>
      </w:pPr>
      <w:r w:rsidRPr="000D704D">
        <w:rPr>
          <w:color w:val="000000" w:themeColor="text1"/>
        </w:rPr>
        <w:t>Processing your account information, subscription data, and usage data is necessary to provide the Service you have contracted with us to receive. Without this processing we cannot operate your account or deliver the platform.</w:t>
      </w:r>
    </w:p>
    <w:p w14:paraId="475DFC32" w14:textId="77777777" w:rsidR="006103B3" w:rsidRPr="000D704D" w:rsidRDefault="006103B3">
      <w:pPr>
        <w:spacing w:after="40"/>
        <w:rPr>
          <w:color w:val="000000" w:themeColor="text1"/>
        </w:rPr>
      </w:pPr>
    </w:p>
    <w:p w14:paraId="7BA0DBC2" w14:textId="77777777" w:rsidR="006103B3" w:rsidRPr="000D704D" w:rsidRDefault="00000000">
      <w:pPr>
        <w:pStyle w:val="Heading3"/>
        <w:rPr>
          <w:color w:val="000000" w:themeColor="text1"/>
        </w:rPr>
      </w:pPr>
      <w:r w:rsidRPr="000D704D">
        <w:rPr>
          <w:color w:val="000000" w:themeColor="text1"/>
        </w:rPr>
        <w:t>6b. Legitimate interests — Article 6(1)(f)</w:t>
      </w:r>
    </w:p>
    <w:p w14:paraId="651B9A42" w14:textId="77777777" w:rsidR="006103B3" w:rsidRPr="000D704D" w:rsidRDefault="00000000">
      <w:pPr>
        <w:spacing w:after="120"/>
        <w:rPr>
          <w:color w:val="000000" w:themeColor="text1"/>
        </w:rPr>
      </w:pPr>
      <w:r w:rsidRPr="000D704D">
        <w:rPr>
          <w:color w:val="000000" w:themeColor="text1"/>
        </w:rPr>
        <w:t>We process technical data and aggregated usage analytics to improve platform performance, ensure security, and develop new features. We have conducted a Legitimate Interests Assessment confirming that these interests do not override your fundamental rights and freedoms.</w:t>
      </w:r>
    </w:p>
    <w:p w14:paraId="6EF9CEAF" w14:textId="77777777" w:rsidR="006103B3" w:rsidRPr="000D704D" w:rsidRDefault="006103B3">
      <w:pPr>
        <w:spacing w:after="40"/>
        <w:rPr>
          <w:color w:val="000000" w:themeColor="text1"/>
        </w:rPr>
      </w:pPr>
    </w:p>
    <w:p w14:paraId="007B0152" w14:textId="77777777" w:rsidR="006103B3" w:rsidRPr="000D704D" w:rsidRDefault="00000000">
      <w:pPr>
        <w:pStyle w:val="Heading3"/>
        <w:rPr>
          <w:color w:val="000000" w:themeColor="text1"/>
        </w:rPr>
      </w:pPr>
      <w:r w:rsidRPr="000D704D">
        <w:rPr>
          <w:color w:val="000000" w:themeColor="text1"/>
        </w:rPr>
        <w:t>6c. Explicit consent — Article 6(1)(a) and Article 9(2)(a)</w:t>
      </w:r>
    </w:p>
    <w:p w14:paraId="09EE4FEE" w14:textId="77777777" w:rsidR="006103B3" w:rsidRPr="000D704D" w:rsidRDefault="00000000">
      <w:pPr>
        <w:spacing w:after="120"/>
        <w:rPr>
          <w:color w:val="000000" w:themeColor="text1"/>
        </w:rPr>
      </w:pPr>
      <w:r w:rsidRPr="000D704D">
        <w:rPr>
          <w:color w:val="000000" w:themeColor="text1"/>
        </w:rPr>
        <w:t>For the processing of special category data (health-related search behaviour and Patient or Caregiver tier usage), we rely on your explicit consent obtained at account registration. You may withdraw consent at any time by contacting privacy@navia.health or deleting your account.</w:t>
      </w:r>
    </w:p>
    <w:p w14:paraId="167D063A" w14:textId="77777777" w:rsidR="006103B3" w:rsidRPr="000D704D" w:rsidRDefault="006103B3">
      <w:pPr>
        <w:spacing w:after="40"/>
        <w:rPr>
          <w:color w:val="000000" w:themeColor="text1"/>
        </w:rPr>
      </w:pPr>
    </w:p>
    <w:p w14:paraId="556496DA" w14:textId="77777777" w:rsidR="006103B3" w:rsidRPr="000D704D" w:rsidRDefault="00000000">
      <w:pPr>
        <w:pStyle w:val="Heading3"/>
        <w:rPr>
          <w:color w:val="000000" w:themeColor="text1"/>
        </w:rPr>
      </w:pPr>
      <w:r w:rsidRPr="000D704D">
        <w:rPr>
          <w:color w:val="000000" w:themeColor="text1"/>
        </w:rPr>
        <w:t>6d. Legal obligation — Article 6(1)(c)</w:t>
      </w:r>
    </w:p>
    <w:p w14:paraId="0EFC1F19" w14:textId="77777777" w:rsidR="006103B3" w:rsidRPr="000D704D" w:rsidRDefault="00000000">
      <w:pPr>
        <w:spacing w:after="120"/>
        <w:rPr>
          <w:color w:val="000000" w:themeColor="text1"/>
        </w:rPr>
      </w:pPr>
      <w:r w:rsidRPr="000D704D">
        <w:rPr>
          <w:color w:val="000000" w:themeColor="text1"/>
        </w:rPr>
        <w:t>We may process your data where required to comply with applicable law, including responses to lawful requests from Irish or EU regulatory authorities.</w:t>
      </w:r>
    </w:p>
    <w:p w14:paraId="7941C18B" w14:textId="77777777" w:rsidR="006103B3" w:rsidRPr="000D704D" w:rsidRDefault="006103B3">
      <w:pPr>
        <w:spacing w:after="80"/>
        <w:rPr>
          <w:color w:val="000000" w:themeColor="text1"/>
        </w:rPr>
      </w:pPr>
    </w:p>
    <w:p w14:paraId="6AAAEBED" w14:textId="77777777" w:rsidR="006103B3" w:rsidRPr="000D704D" w:rsidRDefault="00000000">
      <w:pPr>
        <w:pStyle w:val="Heading1"/>
        <w:rPr>
          <w:color w:val="000000" w:themeColor="text1"/>
        </w:rPr>
      </w:pPr>
      <w:r w:rsidRPr="000D704D">
        <w:rPr>
          <w:color w:val="000000" w:themeColor="text1"/>
        </w:rPr>
        <w:t>7. Automated Decision-Making</w:t>
      </w:r>
    </w:p>
    <w:p w14:paraId="3A29DBA8" w14:textId="77777777" w:rsidR="006103B3" w:rsidRPr="000D704D" w:rsidRDefault="00000000">
      <w:pPr>
        <w:spacing w:after="120"/>
        <w:rPr>
          <w:color w:val="000000" w:themeColor="text1"/>
        </w:rPr>
      </w:pPr>
      <w:r w:rsidRPr="000D704D">
        <w:rPr>
          <w:color w:val="000000" w:themeColor="text1"/>
        </w:rPr>
        <w:t>Navia does not currently carry out any automated decision-making that produces legal or similarly significant effects on you as defined under Article 22 GDPR. The AI layer within the platform generates intelligence outputs based on aggregated disease data, not on individual user profiling.</w:t>
      </w:r>
    </w:p>
    <w:p w14:paraId="72DC9FD5" w14:textId="77777777" w:rsidR="006103B3" w:rsidRPr="000D704D" w:rsidRDefault="00000000">
      <w:pPr>
        <w:spacing w:after="120"/>
        <w:rPr>
          <w:color w:val="000000" w:themeColor="text1"/>
        </w:rPr>
      </w:pPr>
      <w:r w:rsidRPr="000D704D">
        <w:rPr>
          <w:color w:val="000000" w:themeColor="text1"/>
        </w:rPr>
        <w:t>If we introduce automated decision-making with significant individual effects in the future, we will update this policy, inform you directly, and provide the rights required under Article 22 GDPR including the right to human review, to contest the decision, and to obtain an explanation of the logic involved.</w:t>
      </w:r>
    </w:p>
    <w:p w14:paraId="14ECAC7C" w14:textId="77777777" w:rsidR="006103B3" w:rsidRPr="000D704D" w:rsidRDefault="006103B3">
      <w:pPr>
        <w:spacing w:after="80"/>
        <w:rPr>
          <w:color w:val="000000" w:themeColor="text1"/>
        </w:rPr>
      </w:pPr>
    </w:p>
    <w:p w14:paraId="56A1DF7F" w14:textId="77777777" w:rsidR="006103B3" w:rsidRPr="000D704D" w:rsidRDefault="00000000">
      <w:pPr>
        <w:pStyle w:val="Heading1"/>
        <w:rPr>
          <w:color w:val="000000" w:themeColor="text1"/>
        </w:rPr>
      </w:pPr>
      <w:r w:rsidRPr="000D704D">
        <w:rPr>
          <w:color w:val="000000" w:themeColor="text1"/>
        </w:rPr>
        <w:t>8. Data Storage, Security, and Processors</w:t>
      </w:r>
    </w:p>
    <w:p w14:paraId="1B07EBCC" w14:textId="77777777" w:rsidR="006103B3" w:rsidRPr="000D704D" w:rsidRDefault="00000000">
      <w:pPr>
        <w:pStyle w:val="Heading3"/>
        <w:rPr>
          <w:color w:val="000000" w:themeColor="text1"/>
        </w:rPr>
      </w:pPr>
      <w:r w:rsidRPr="000D704D">
        <w:rPr>
          <w:color w:val="000000" w:themeColor="text1"/>
        </w:rPr>
        <w:t>8a. Storage location</w:t>
      </w:r>
    </w:p>
    <w:p w14:paraId="19EDB0BA" w14:textId="77777777" w:rsidR="006103B3" w:rsidRPr="000D704D" w:rsidRDefault="00000000">
      <w:pPr>
        <w:spacing w:after="120"/>
        <w:rPr>
          <w:color w:val="000000" w:themeColor="text1"/>
        </w:rPr>
      </w:pPr>
      <w:r w:rsidRPr="000D704D">
        <w:rPr>
          <w:color w:val="000000" w:themeColor="text1"/>
        </w:rPr>
        <w:t>Your data is stored on secure servers within the European Economic Area (EEA). Where any processing occurs outside the EEA, we ensure that appropriate safeguards are in place in accordance with Chapter V GDPR, including Standard Contractual Clauses approved by the European Commission.</w:t>
      </w:r>
    </w:p>
    <w:p w14:paraId="4EA18B36" w14:textId="77777777" w:rsidR="006103B3" w:rsidRPr="000D704D" w:rsidRDefault="006103B3">
      <w:pPr>
        <w:spacing w:after="40"/>
        <w:rPr>
          <w:color w:val="000000" w:themeColor="text1"/>
        </w:rPr>
      </w:pPr>
    </w:p>
    <w:p w14:paraId="266686F0" w14:textId="77777777" w:rsidR="006103B3" w:rsidRPr="000D704D" w:rsidRDefault="00000000">
      <w:pPr>
        <w:pStyle w:val="Heading3"/>
        <w:rPr>
          <w:color w:val="000000" w:themeColor="text1"/>
        </w:rPr>
      </w:pPr>
      <w:r w:rsidRPr="000D704D">
        <w:rPr>
          <w:color w:val="000000" w:themeColor="text1"/>
        </w:rPr>
        <w:t>8b. Security measures</w:t>
      </w:r>
    </w:p>
    <w:p w14:paraId="46536361" w14:textId="77777777" w:rsidR="006103B3" w:rsidRPr="000D704D" w:rsidRDefault="00000000">
      <w:pPr>
        <w:pStyle w:val="ListParagraph"/>
        <w:numPr>
          <w:ilvl w:val="0"/>
          <w:numId w:val="2"/>
        </w:numPr>
        <w:spacing w:after="80"/>
        <w:rPr>
          <w:color w:val="000000" w:themeColor="text1"/>
        </w:rPr>
      </w:pPr>
      <w:r w:rsidRPr="000D704D">
        <w:rPr>
          <w:color w:val="000000" w:themeColor="text1"/>
        </w:rPr>
        <w:t>Encrypted connections (HTTPS/TLS) for all data in transit</w:t>
      </w:r>
    </w:p>
    <w:p w14:paraId="081850F1" w14:textId="77777777" w:rsidR="006103B3" w:rsidRPr="000D704D" w:rsidRDefault="00000000">
      <w:pPr>
        <w:pStyle w:val="ListParagraph"/>
        <w:numPr>
          <w:ilvl w:val="0"/>
          <w:numId w:val="2"/>
        </w:numPr>
        <w:spacing w:after="80"/>
        <w:rPr>
          <w:color w:val="000000" w:themeColor="text1"/>
        </w:rPr>
      </w:pPr>
      <w:r w:rsidRPr="000D704D">
        <w:rPr>
          <w:color w:val="000000" w:themeColor="text1"/>
        </w:rPr>
        <w:t>Encryption of sensitive data at rest</w:t>
      </w:r>
    </w:p>
    <w:p w14:paraId="27E5D2B8" w14:textId="77777777" w:rsidR="006103B3" w:rsidRPr="000D704D" w:rsidRDefault="00000000">
      <w:pPr>
        <w:pStyle w:val="ListParagraph"/>
        <w:numPr>
          <w:ilvl w:val="0"/>
          <w:numId w:val="2"/>
        </w:numPr>
        <w:spacing w:after="80"/>
        <w:rPr>
          <w:color w:val="000000" w:themeColor="text1"/>
        </w:rPr>
      </w:pPr>
      <w:r w:rsidRPr="000D704D">
        <w:rPr>
          <w:color w:val="000000" w:themeColor="text1"/>
        </w:rPr>
        <w:t>Access controls limiting data access to authorised personnel only</w:t>
      </w:r>
    </w:p>
    <w:p w14:paraId="36D193EB" w14:textId="77777777" w:rsidR="006103B3" w:rsidRPr="000D704D" w:rsidRDefault="00000000">
      <w:pPr>
        <w:pStyle w:val="ListParagraph"/>
        <w:numPr>
          <w:ilvl w:val="0"/>
          <w:numId w:val="2"/>
        </w:numPr>
        <w:spacing w:after="80"/>
        <w:rPr>
          <w:color w:val="000000" w:themeColor="text1"/>
        </w:rPr>
      </w:pPr>
      <w:r w:rsidRPr="000D704D">
        <w:rPr>
          <w:color w:val="000000" w:themeColor="text1"/>
        </w:rPr>
        <w:t>Regular security assessments and monitoring</w:t>
      </w:r>
    </w:p>
    <w:p w14:paraId="21246541" w14:textId="77777777" w:rsidR="006103B3" w:rsidRPr="000D704D" w:rsidRDefault="00000000">
      <w:pPr>
        <w:pStyle w:val="ListParagraph"/>
        <w:numPr>
          <w:ilvl w:val="0"/>
          <w:numId w:val="2"/>
        </w:numPr>
        <w:spacing w:after="80"/>
        <w:rPr>
          <w:color w:val="000000" w:themeColor="text1"/>
        </w:rPr>
      </w:pPr>
      <w:r w:rsidRPr="000D704D">
        <w:rPr>
          <w:color w:val="000000" w:themeColor="text1"/>
        </w:rPr>
        <w:t>Secure password hashing — plaintext passwords are never stored</w:t>
      </w:r>
    </w:p>
    <w:p w14:paraId="0C4D4203" w14:textId="77777777" w:rsidR="006103B3" w:rsidRPr="000D704D" w:rsidRDefault="006103B3">
      <w:pPr>
        <w:spacing w:after="40"/>
        <w:rPr>
          <w:color w:val="000000" w:themeColor="text1"/>
        </w:rPr>
      </w:pPr>
    </w:p>
    <w:p w14:paraId="0AEA26F0" w14:textId="77777777" w:rsidR="006103B3" w:rsidRPr="000D704D" w:rsidRDefault="00000000">
      <w:pPr>
        <w:pStyle w:val="Heading3"/>
        <w:rPr>
          <w:color w:val="000000" w:themeColor="text1"/>
        </w:rPr>
      </w:pPr>
      <w:r w:rsidRPr="000D704D">
        <w:rPr>
          <w:color w:val="000000" w:themeColor="text1"/>
        </w:rPr>
        <w:t>8c. Data processors</w:t>
      </w:r>
    </w:p>
    <w:p w14:paraId="53E4815B" w14:textId="77777777" w:rsidR="006103B3" w:rsidRPr="000D704D" w:rsidRDefault="00000000">
      <w:pPr>
        <w:spacing w:after="120"/>
        <w:rPr>
          <w:color w:val="000000" w:themeColor="text1"/>
        </w:rPr>
      </w:pPr>
      <w:r w:rsidRPr="000D704D">
        <w:rPr>
          <w:color w:val="000000" w:themeColor="text1"/>
        </w:rPr>
        <w:t>We use trusted third-party processors to operate the Service. All processors are bound by Data Processing Agreements (DPAs) in compliance with Article 28 GDPR, ensuring they process your data only on our documented instructions and implement appropriate security measures. Our processor categories include:</w:t>
      </w:r>
    </w:p>
    <w:p w14:paraId="0043546F" w14:textId="77777777" w:rsidR="006103B3" w:rsidRPr="000D704D" w:rsidRDefault="00000000">
      <w:pPr>
        <w:pStyle w:val="ListParagraph"/>
        <w:numPr>
          <w:ilvl w:val="0"/>
          <w:numId w:val="2"/>
        </w:numPr>
        <w:spacing w:after="80"/>
        <w:rPr>
          <w:color w:val="000000" w:themeColor="text1"/>
        </w:rPr>
      </w:pPr>
      <w:r w:rsidRPr="000D704D">
        <w:rPr>
          <w:color w:val="000000" w:themeColor="text1"/>
        </w:rPr>
        <w:t>Cloud infrastructure and hosting providers</w:t>
      </w:r>
    </w:p>
    <w:p w14:paraId="320AC7AB" w14:textId="77777777" w:rsidR="006103B3" w:rsidRPr="000D704D" w:rsidRDefault="00000000">
      <w:pPr>
        <w:pStyle w:val="ListParagraph"/>
        <w:numPr>
          <w:ilvl w:val="0"/>
          <w:numId w:val="2"/>
        </w:numPr>
        <w:spacing w:after="80"/>
        <w:rPr>
          <w:color w:val="000000" w:themeColor="text1"/>
        </w:rPr>
      </w:pPr>
      <w:r w:rsidRPr="000D704D">
        <w:rPr>
          <w:color w:val="000000" w:themeColor="text1"/>
        </w:rPr>
        <w:t>Database service providers</w:t>
      </w:r>
    </w:p>
    <w:p w14:paraId="629ABE71" w14:textId="77777777" w:rsidR="006103B3" w:rsidRPr="000D704D" w:rsidRDefault="00000000">
      <w:pPr>
        <w:pStyle w:val="ListParagraph"/>
        <w:numPr>
          <w:ilvl w:val="0"/>
          <w:numId w:val="2"/>
        </w:numPr>
        <w:spacing w:after="80"/>
        <w:rPr>
          <w:color w:val="000000" w:themeColor="text1"/>
        </w:rPr>
      </w:pPr>
      <w:r w:rsidRPr="000D704D">
        <w:rPr>
          <w:color w:val="000000" w:themeColor="text1"/>
        </w:rPr>
        <w:t>Payment processing providers</w:t>
      </w:r>
    </w:p>
    <w:p w14:paraId="6588DCAD" w14:textId="77777777" w:rsidR="006103B3" w:rsidRPr="000D704D" w:rsidRDefault="00000000">
      <w:pPr>
        <w:pStyle w:val="ListParagraph"/>
        <w:numPr>
          <w:ilvl w:val="0"/>
          <w:numId w:val="2"/>
        </w:numPr>
        <w:spacing w:after="80"/>
        <w:rPr>
          <w:color w:val="000000" w:themeColor="text1"/>
        </w:rPr>
      </w:pPr>
      <w:r w:rsidRPr="000D704D">
        <w:rPr>
          <w:color w:val="000000" w:themeColor="text1"/>
        </w:rPr>
        <w:t>Email delivery service providers</w:t>
      </w:r>
    </w:p>
    <w:p w14:paraId="4E86BAB4" w14:textId="77777777" w:rsidR="006103B3" w:rsidRPr="000D704D" w:rsidRDefault="00000000">
      <w:pPr>
        <w:pStyle w:val="ListParagraph"/>
        <w:numPr>
          <w:ilvl w:val="0"/>
          <w:numId w:val="2"/>
        </w:numPr>
        <w:spacing w:after="80"/>
        <w:rPr>
          <w:color w:val="000000" w:themeColor="text1"/>
        </w:rPr>
      </w:pPr>
      <w:r w:rsidRPr="000D704D">
        <w:rPr>
          <w:color w:val="000000" w:themeColor="text1"/>
        </w:rPr>
        <w:t>Error monitoring and performance analytics providers</w:t>
      </w:r>
    </w:p>
    <w:p w14:paraId="21B56DC6" w14:textId="77777777" w:rsidR="006103B3" w:rsidRPr="000D704D" w:rsidRDefault="00000000">
      <w:pPr>
        <w:spacing w:after="120"/>
        <w:rPr>
          <w:color w:val="000000" w:themeColor="text1"/>
        </w:rPr>
      </w:pPr>
      <w:r w:rsidRPr="000D704D">
        <w:rPr>
          <w:color w:val="000000" w:themeColor="text1"/>
        </w:rPr>
        <w:t>A current list of our sub-processors is available on request at privacy@navia.health.</w:t>
      </w:r>
    </w:p>
    <w:p w14:paraId="48410B5D" w14:textId="77777777" w:rsidR="006103B3" w:rsidRPr="000D704D" w:rsidRDefault="006103B3">
      <w:pPr>
        <w:spacing w:after="80"/>
        <w:rPr>
          <w:color w:val="000000" w:themeColor="text1"/>
        </w:rPr>
      </w:pPr>
    </w:p>
    <w:p w14:paraId="025DBEBD" w14:textId="77777777" w:rsidR="006103B3" w:rsidRPr="000D704D" w:rsidRDefault="00000000">
      <w:pPr>
        <w:pStyle w:val="Heading1"/>
        <w:rPr>
          <w:color w:val="000000" w:themeColor="text1"/>
        </w:rPr>
      </w:pPr>
      <w:r w:rsidRPr="000D704D">
        <w:rPr>
          <w:color w:val="000000" w:themeColor="text1"/>
        </w:rPr>
        <w:t>9. Data Retention</w:t>
      </w:r>
    </w:p>
    <w:p w14:paraId="616B04DE" w14:textId="77777777" w:rsidR="006103B3" w:rsidRPr="000D704D" w:rsidRDefault="00000000">
      <w:pPr>
        <w:spacing w:after="120"/>
        <w:rPr>
          <w:color w:val="000000" w:themeColor="text1"/>
        </w:rPr>
      </w:pPr>
      <w:r w:rsidRPr="000D704D">
        <w:rPr>
          <w:color w:val="000000" w:themeColor="text1"/>
        </w:rPr>
        <w:t>We retain your personal data only for as long as necessary to fulfil the purposes set out in this policy. Our specific retention periods are:</w:t>
      </w:r>
    </w:p>
    <w:p w14:paraId="61A698EF" w14:textId="77777777" w:rsidR="006103B3" w:rsidRPr="000D704D" w:rsidRDefault="006103B3">
      <w:pPr>
        <w:spacing w:after="40"/>
        <w:rPr>
          <w:color w:val="000000" w:themeColor="text1"/>
        </w:rPr>
      </w:pPr>
    </w:p>
    <w:p w14:paraId="4F45E2F6" w14:textId="77777777" w:rsidR="006103B3" w:rsidRPr="000D704D" w:rsidRDefault="00000000">
      <w:pPr>
        <w:pStyle w:val="ListParagraph"/>
        <w:numPr>
          <w:ilvl w:val="0"/>
          <w:numId w:val="2"/>
        </w:numPr>
        <w:spacing w:after="80"/>
        <w:rPr>
          <w:color w:val="000000" w:themeColor="text1"/>
        </w:rPr>
      </w:pPr>
      <w:r w:rsidRPr="000D704D">
        <w:rPr>
          <w:color w:val="000000" w:themeColor="text1"/>
        </w:rPr>
        <w:t>Account data: retained for the duration of your account plus 12 months following account deletion, after which it is permanently deleted or anonymised</w:t>
      </w:r>
    </w:p>
    <w:p w14:paraId="4720E4EA" w14:textId="77777777" w:rsidR="006103B3" w:rsidRPr="000D704D" w:rsidRDefault="00000000">
      <w:pPr>
        <w:pStyle w:val="ListParagraph"/>
        <w:numPr>
          <w:ilvl w:val="0"/>
          <w:numId w:val="2"/>
        </w:numPr>
        <w:spacing w:after="80"/>
        <w:rPr>
          <w:color w:val="000000" w:themeColor="text1"/>
        </w:rPr>
      </w:pPr>
      <w:r w:rsidRPr="000D704D">
        <w:rPr>
          <w:color w:val="000000" w:themeColor="text1"/>
        </w:rPr>
        <w:t>Usage logs and analytics events: retained for 12 months then aggregated and anonymised</w:t>
      </w:r>
    </w:p>
    <w:p w14:paraId="53FAADEA" w14:textId="77777777" w:rsidR="006103B3" w:rsidRPr="000D704D" w:rsidRDefault="00000000">
      <w:pPr>
        <w:pStyle w:val="ListParagraph"/>
        <w:numPr>
          <w:ilvl w:val="0"/>
          <w:numId w:val="2"/>
        </w:numPr>
        <w:spacing w:after="80"/>
        <w:rPr>
          <w:color w:val="000000" w:themeColor="text1"/>
        </w:rPr>
      </w:pPr>
      <w:r w:rsidRPr="000D704D">
        <w:rPr>
          <w:color w:val="000000" w:themeColor="text1"/>
        </w:rPr>
        <w:t>User-generated content (notes, saved items, alerts): deleted immediately upon account deletion</w:t>
      </w:r>
    </w:p>
    <w:p w14:paraId="52EEB9BB" w14:textId="77777777" w:rsidR="006103B3" w:rsidRPr="000D704D" w:rsidRDefault="00000000">
      <w:pPr>
        <w:pStyle w:val="ListParagraph"/>
        <w:numPr>
          <w:ilvl w:val="0"/>
          <w:numId w:val="2"/>
        </w:numPr>
        <w:spacing w:after="80"/>
        <w:rPr>
          <w:color w:val="000000" w:themeColor="text1"/>
        </w:rPr>
      </w:pPr>
      <w:r w:rsidRPr="000D704D">
        <w:rPr>
          <w:color w:val="000000" w:themeColor="text1"/>
        </w:rPr>
        <w:t>Payment transaction records: retained for 7 years in accordance with Irish tax and accounting obligations</w:t>
      </w:r>
    </w:p>
    <w:p w14:paraId="2B581EF7" w14:textId="77777777" w:rsidR="006103B3" w:rsidRPr="000D704D" w:rsidRDefault="00000000">
      <w:pPr>
        <w:pStyle w:val="ListParagraph"/>
        <w:numPr>
          <w:ilvl w:val="0"/>
          <w:numId w:val="2"/>
        </w:numPr>
        <w:spacing w:after="80"/>
        <w:rPr>
          <w:color w:val="000000" w:themeColor="text1"/>
        </w:rPr>
      </w:pPr>
      <w:r w:rsidRPr="000D704D">
        <w:rPr>
          <w:color w:val="000000" w:themeColor="text1"/>
        </w:rPr>
        <w:t>Support communications: retained for 24 months from the date of last contact</w:t>
      </w:r>
    </w:p>
    <w:p w14:paraId="6EA8B003" w14:textId="77777777" w:rsidR="006103B3" w:rsidRPr="000D704D" w:rsidRDefault="00000000">
      <w:pPr>
        <w:pStyle w:val="ListParagraph"/>
        <w:numPr>
          <w:ilvl w:val="0"/>
          <w:numId w:val="2"/>
        </w:numPr>
        <w:spacing w:after="80"/>
        <w:rPr>
          <w:color w:val="000000" w:themeColor="text1"/>
        </w:rPr>
      </w:pPr>
      <w:r w:rsidRPr="000D704D">
        <w:rPr>
          <w:color w:val="000000" w:themeColor="text1"/>
        </w:rPr>
        <w:t>Anonymised aggregated analytics: retained indefinitely — this data cannot be linked to any individual</w:t>
      </w:r>
    </w:p>
    <w:p w14:paraId="58754B77" w14:textId="77777777" w:rsidR="006103B3" w:rsidRPr="000D704D" w:rsidRDefault="006103B3">
      <w:pPr>
        <w:spacing w:after="40"/>
        <w:rPr>
          <w:color w:val="000000" w:themeColor="text1"/>
        </w:rPr>
      </w:pPr>
    </w:p>
    <w:p w14:paraId="26DCEF1F" w14:textId="77777777" w:rsidR="006103B3" w:rsidRPr="000D704D" w:rsidRDefault="00000000">
      <w:pPr>
        <w:spacing w:after="120"/>
        <w:rPr>
          <w:color w:val="000000" w:themeColor="text1"/>
        </w:rPr>
      </w:pPr>
      <w:r w:rsidRPr="000D704D">
        <w:rPr>
          <w:color w:val="000000" w:themeColor="text1"/>
        </w:rPr>
        <w:t>You may request deletion of your personal data at any time as described in Section 11.</w:t>
      </w:r>
    </w:p>
    <w:p w14:paraId="04CE3867" w14:textId="77777777" w:rsidR="006103B3" w:rsidRPr="000D704D" w:rsidRDefault="006103B3">
      <w:pPr>
        <w:spacing w:after="80"/>
        <w:rPr>
          <w:color w:val="000000" w:themeColor="text1"/>
        </w:rPr>
      </w:pPr>
    </w:p>
    <w:p w14:paraId="76568D79" w14:textId="77777777" w:rsidR="006103B3" w:rsidRPr="000D704D" w:rsidRDefault="00000000">
      <w:pPr>
        <w:pStyle w:val="Heading1"/>
        <w:rPr>
          <w:color w:val="000000" w:themeColor="text1"/>
        </w:rPr>
      </w:pPr>
      <w:r w:rsidRPr="000D704D">
        <w:rPr>
          <w:color w:val="000000" w:themeColor="text1"/>
        </w:rPr>
        <w:lastRenderedPageBreak/>
        <w:t>10. Data Sharing</w:t>
      </w:r>
    </w:p>
    <w:p w14:paraId="717E54CA" w14:textId="77777777" w:rsidR="006103B3" w:rsidRPr="000D704D" w:rsidRDefault="00000000">
      <w:pPr>
        <w:spacing w:after="120"/>
        <w:rPr>
          <w:color w:val="000000" w:themeColor="text1"/>
        </w:rPr>
      </w:pPr>
      <w:r w:rsidRPr="000D704D">
        <w:rPr>
          <w:color w:val="000000" w:themeColor="text1"/>
        </w:rPr>
        <w:t>We do not sell, rent, or trade your personal data to any third party for marketing or commercial purposes.</w:t>
      </w:r>
    </w:p>
    <w:p w14:paraId="1687B090" w14:textId="77777777" w:rsidR="006103B3" w:rsidRPr="000D704D" w:rsidRDefault="00000000">
      <w:pPr>
        <w:spacing w:after="120"/>
        <w:rPr>
          <w:color w:val="000000" w:themeColor="text1"/>
        </w:rPr>
      </w:pPr>
      <w:r w:rsidRPr="000D704D">
        <w:rPr>
          <w:color w:val="000000" w:themeColor="text1"/>
        </w:rPr>
        <w:t>We share your data only in the following limited circumstances:</w:t>
      </w:r>
    </w:p>
    <w:p w14:paraId="6E8D3C6E" w14:textId="77777777" w:rsidR="006103B3" w:rsidRPr="000D704D" w:rsidRDefault="006103B3">
      <w:pPr>
        <w:spacing w:after="40"/>
        <w:rPr>
          <w:color w:val="000000" w:themeColor="text1"/>
        </w:rPr>
      </w:pPr>
    </w:p>
    <w:p w14:paraId="3B544A09" w14:textId="77777777" w:rsidR="006103B3" w:rsidRPr="000D704D" w:rsidRDefault="00000000">
      <w:pPr>
        <w:pStyle w:val="ListParagraph"/>
        <w:numPr>
          <w:ilvl w:val="0"/>
          <w:numId w:val="2"/>
        </w:numPr>
        <w:spacing w:after="80"/>
        <w:rPr>
          <w:color w:val="000000" w:themeColor="text1"/>
        </w:rPr>
      </w:pPr>
      <w:r w:rsidRPr="000D704D">
        <w:rPr>
          <w:color w:val="000000" w:themeColor="text1"/>
        </w:rPr>
        <w:t>With authorised data processors as described in Section 8c, strictly for the purpose of providing the Service</w:t>
      </w:r>
    </w:p>
    <w:p w14:paraId="2BA921B3" w14:textId="77777777" w:rsidR="006103B3" w:rsidRPr="000D704D" w:rsidRDefault="00000000">
      <w:pPr>
        <w:pStyle w:val="ListParagraph"/>
        <w:numPr>
          <w:ilvl w:val="0"/>
          <w:numId w:val="2"/>
        </w:numPr>
        <w:spacing w:after="80"/>
        <w:rPr>
          <w:color w:val="000000" w:themeColor="text1"/>
        </w:rPr>
      </w:pPr>
      <w:r w:rsidRPr="000D704D">
        <w:rPr>
          <w:color w:val="000000" w:themeColor="text1"/>
        </w:rPr>
        <w:t>With Irish or EU regulatory authorities where required by applicable law or a valid legal order</w:t>
      </w:r>
    </w:p>
    <w:p w14:paraId="127E8F1F" w14:textId="77777777" w:rsidR="006103B3" w:rsidRPr="000D704D" w:rsidRDefault="00000000">
      <w:pPr>
        <w:pStyle w:val="ListParagraph"/>
        <w:numPr>
          <w:ilvl w:val="0"/>
          <w:numId w:val="2"/>
        </w:numPr>
        <w:spacing w:after="80"/>
        <w:rPr>
          <w:color w:val="000000" w:themeColor="text1"/>
        </w:rPr>
      </w:pPr>
      <w:r w:rsidRPr="000D704D">
        <w:rPr>
          <w:color w:val="000000" w:themeColor="text1"/>
        </w:rPr>
        <w:t>With professional advisors (legal, accounting) subject to professional confidentiality obligations</w:t>
      </w:r>
    </w:p>
    <w:p w14:paraId="1C45497E" w14:textId="77777777" w:rsidR="006103B3" w:rsidRPr="000D704D" w:rsidRDefault="00000000">
      <w:pPr>
        <w:pStyle w:val="ListParagraph"/>
        <w:numPr>
          <w:ilvl w:val="0"/>
          <w:numId w:val="2"/>
        </w:numPr>
        <w:spacing w:after="80"/>
        <w:rPr>
          <w:color w:val="000000" w:themeColor="text1"/>
        </w:rPr>
      </w:pPr>
      <w:r w:rsidRPr="000D704D">
        <w:rPr>
          <w:color w:val="000000" w:themeColor="text1"/>
        </w:rPr>
        <w:t>In connection with a merger, acquisition, or sale of all or part of our business, where the acquiring entity agrees to be bound by this Privacy Policy</w:t>
      </w:r>
    </w:p>
    <w:p w14:paraId="29212737" w14:textId="77777777" w:rsidR="006103B3" w:rsidRPr="000D704D" w:rsidRDefault="006103B3">
      <w:pPr>
        <w:spacing w:after="80"/>
        <w:rPr>
          <w:color w:val="000000" w:themeColor="text1"/>
        </w:rPr>
      </w:pPr>
    </w:p>
    <w:p w14:paraId="77EA248C" w14:textId="77777777" w:rsidR="006103B3" w:rsidRPr="000D704D" w:rsidRDefault="00000000">
      <w:pPr>
        <w:pStyle w:val="Heading1"/>
        <w:rPr>
          <w:color w:val="000000" w:themeColor="text1"/>
        </w:rPr>
      </w:pPr>
      <w:r w:rsidRPr="000D704D">
        <w:rPr>
          <w:color w:val="000000" w:themeColor="text1"/>
        </w:rPr>
        <w:t>11. Your Rights Under GDPR</w:t>
      </w:r>
    </w:p>
    <w:p w14:paraId="6C88F835" w14:textId="77777777" w:rsidR="006103B3" w:rsidRPr="000D704D" w:rsidRDefault="00000000">
      <w:pPr>
        <w:spacing w:after="120"/>
        <w:rPr>
          <w:color w:val="000000" w:themeColor="text1"/>
        </w:rPr>
      </w:pPr>
      <w:r w:rsidRPr="000D704D">
        <w:rPr>
          <w:color w:val="000000" w:themeColor="text1"/>
        </w:rPr>
        <w:t>Under GDPR Articles 15 to 22, you have the following rights in relation to your personal data:</w:t>
      </w:r>
    </w:p>
    <w:p w14:paraId="5DA6F1ED" w14:textId="77777777" w:rsidR="006103B3" w:rsidRPr="000D704D" w:rsidRDefault="006103B3">
      <w:pPr>
        <w:spacing w:after="40"/>
        <w:rPr>
          <w:color w:val="000000" w:themeColor="text1"/>
        </w:rPr>
      </w:pPr>
    </w:p>
    <w:p w14:paraId="689C07DB" w14:textId="77777777" w:rsidR="006103B3" w:rsidRPr="000D704D" w:rsidRDefault="00000000">
      <w:pPr>
        <w:pStyle w:val="Heading3"/>
        <w:rPr>
          <w:color w:val="000000" w:themeColor="text1"/>
        </w:rPr>
      </w:pPr>
      <w:r w:rsidRPr="000D704D">
        <w:rPr>
          <w:color w:val="000000" w:themeColor="text1"/>
        </w:rPr>
        <w:t>11a. Right of access — Article 15</w:t>
      </w:r>
    </w:p>
    <w:p w14:paraId="44E658F1" w14:textId="77777777" w:rsidR="006103B3" w:rsidRPr="000D704D" w:rsidRDefault="00000000">
      <w:pPr>
        <w:spacing w:after="120"/>
        <w:rPr>
          <w:color w:val="000000" w:themeColor="text1"/>
        </w:rPr>
      </w:pPr>
      <w:r w:rsidRPr="000D704D">
        <w:rPr>
          <w:color w:val="000000" w:themeColor="text1"/>
        </w:rPr>
        <w:t>You have the right to receive a copy of the personal data we hold about you and information about how we process it.</w:t>
      </w:r>
    </w:p>
    <w:p w14:paraId="53EEDD1B" w14:textId="77777777" w:rsidR="006103B3" w:rsidRPr="000D704D" w:rsidRDefault="006103B3">
      <w:pPr>
        <w:spacing w:after="40"/>
        <w:rPr>
          <w:color w:val="000000" w:themeColor="text1"/>
        </w:rPr>
      </w:pPr>
    </w:p>
    <w:p w14:paraId="0DA5408F" w14:textId="77777777" w:rsidR="006103B3" w:rsidRPr="000D704D" w:rsidRDefault="00000000">
      <w:pPr>
        <w:pStyle w:val="Heading3"/>
        <w:rPr>
          <w:color w:val="000000" w:themeColor="text1"/>
        </w:rPr>
      </w:pPr>
      <w:r w:rsidRPr="000D704D">
        <w:rPr>
          <w:color w:val="000000" w:themeColor="text1"/>
        </w:rPr>
        <w:t>11b. Right to rectification — Article 16</w:t>
      </w:r>
    </w:p>
    <w:p w14:paraId="17AA6912" w14:textId="77777777" w:rsidR="006103B3" w:rsidRPr="000D704D" w:rsidRDefault="00000000">
      <w:pPr>
        <w:spacing w:after="120"/>
        <w:rPr>
          <w:color w:val="000000" w:themeColor="text1"/>
        </w:rPr>
      </w:pPr>
      <w:r w:rsidRPr="000D704D">
        <w:rPr>
          <w:color w:val="000000" w:themeColor="text1"/>
        </w:rPr>
        <w:t>You have the right to have inaccurate or incomplete personal data corrected.</w:t>
      </w:r>
    </w:p>
    <w:p w14:paraId="7F8D9713" w14:textId="77777777" w:rsidR="006103B3" w:rsidRPr="000D704D" w:rsidRDefault="006103B3">
      <w:pPr>
        <w:spacing w:after="40"/>
        <w:rPr>
          <w:color w:val="000000" w:themeColor="text1"/>
        </w:rPr>
      </w:pPr>
    </w:p>
    <w:p w14:paraId="75E9B54D" w14:textId="77777777" w:rsidR="006103B3" w:rsidRPr="000D704D" w:rsidRDefault="00000000">
      <w:pPr>
        <w:pStyle w:val="Heading3"/>
        <w:rPr>
          <w:color w:val="000000" w:themeColor="text1"/>
        </w:rPr>
      </w:pPr>
      <w:r w:rsidRPr="000D704D">
        <w:rPr>
          <w:color w:val="000000" w:themeColor="text1"/>
        </w:rPr>
        <w:t>11c. Right to erasure — Article 17</w:t>
      </w:r>
    </w:p>
    <w:p w14:paraId="21DD3F7D" w14:textId="77777777" w:rsidR="006103B3" w:rsidRPr="000D704D" w:rsidRDefault="00000000">
      <w:pPr>
        <w:spacing w:after="120"/>
        <w:rPr>
          <w:color w:val="000000" w:themeColor="text1"/>
        </w:rPr>
      </w:pPr>
      <w:r w:rsidRPr="000D704D">
        <w:rPr>
          <w:color w:val="000000" w:themeColor="text1"/>
        </w:rPr>
        <w:t>You have the right to request deletion of your personal data where it is no longer necessary for the purposes for which it was collected, where you withdraw consent, or where processing is unlawful.</w:t>
      </w:r>
    </w:p>
    <w:p w14:paraId="3FD96345" w14:textId="77777777" w:rsidR="006103B3" w:rsidRPr="000D704D" w:rsidRDefault="006103B3">
      <w:pPr>
        <w:spacing w:after="40"/>
        <w:rPr>
          <w:color w:val="000000" w:themeColor="text1"/>
        </w:rPr>
      </w:pPr>
    </w:p>
    <w:p w14:paraId="11C22523" w14:textId="77777777" w:rsidR="006103B3" w:rsidRPr="000D704D" w:rsidRDefault="00000000">
      <w:pPr>
        <w:pStyle w:val="Heading3"/>
        <w:rPr>
          <w:color w:val="000000" w:themeColor="text1"/>
        </w:rPr>
      </w:pPr>
      <w:r w:rsidRPr="000D704D">
        <w:rPr>
          <w:color w:val="000000" w:themeColor="text1"/>
        </w:rPr>
        <w:t>11d. Right to restriction of processing — Article 18</w:t>
      </w:r>
    </w:p>
    <w:p w14:paraId="601765BD" w14:textId="77777777" w:rsidR="006103B3" w:rsidRPr="000D704D" w:rsidRDefault="00000000">
      <w:pPr>
        <w:spacing w:after="120"/>
        <w:rPr>
          <w:color w:val="000000" w:themeColor="text1"/>
        </w:rPr>
      </w:pPr>
      <w:r w:rsidRPr="000D704D">
        <w:rPr>
          <w:color w:val="000000" w:themeColor="text1"/>
        </w:rPr>
        <w:t>You have the right to request that we restrict processing of your data in certain circumstances, including while a dispute about accuracy is resolved.</w:t>
      </w:r>
    </w:p>
    <w:p w14:paraId="7CA6DC12" w14:textId="77777777" w:rsidR="006103B3" w:rsidRPr="000D704D" w:rsidRDefault="006103B3">
      <w:pPr>
        <w:spacing w:after="40"/>
        <w:rPr>
          <w:color w:val="000000" w:themeColor="text1"/>
        </w:rPr>
      </w:pPr>
    </w:p>
    <w:p w14:paraId="2855ABA1" w14:textId="77777777" w:rsidR="006103B3" w:rsidRPr="000D704D" w:rsidRDefault="00000000">
      <w:pPr>
        <w:pStyle w:val="Heading3"/>
        <w:rPr>
          <w:color w:val="000000" w:themeColor="text1"/>
        </w:rPr>
      </w:pPr>
      <w:r w:rsidRPr="000D704D">
        <w:rPr>
          <w:color w:val="000000" w:themeColor="text1"/>
        </w:rPr>
        <w:t>11e. Right to data portability — Article 20</w:t>
      </w:r>
    </w:p>
    <w:p w14:paraId="79A61A86" w14:textId="77777777" w:rsidR="006103B3" w:rsidRPr="000D704D" w:rsidRDefault="00000000">
      <w:pPr>
        <w:spacing w:after="120"/>
        <w:rPr>
          <w:color w:val="000000" w:themeColor="text1"/>
        </w:rPr>
      </w:pPr>
      <w:r w:rsidRPr="000D704D">
        <w:rPr>
          <w:color w:val="000000" w:themeColor="text1"/>
        </w:rPr>
        <w:t>You have the right to receive your personal data in a structured, commonly used, and machine-readable format and to transmit it to another controller where processing is based on consent or contractual necessity and is carried out by automated means.</w:t>
      </w:r>
    </w:p>
    <w:p w14:paraId="74547B1E" w14:textId="77777777" w:rsidR="006103B3" w:rsidRPr="000D704D" w:rsidRDefault="006103B3">
      <w:pPr>
        <w:spacing w:after="40"/>
        <w:rPr>
          <w:color w:val="000000" w:themeColor="text1"/>
        </w:rPr>
      </w:pPr>
    </w:p>
    <w:p w14:paraId="68041213" w14:textId="77777777" w:rsidR="006103B3" w:rsidRPr="000D704D" w:rsidRDefault="00000000">
      <w:pPr>
        <w:pStyle w:val="Heading3"/>
        <w:rPr>
          <w:color w:val="000000" w:themeColor="text1"/>
        </w:rPr>
      </w:pPr>
      <w:r w:rsidRPr="000D704D">
        <w:rPr>
          <w:color w:val="000000" w:themeColor="text1"/>
        </w:rPr>
        <w:t>11f. Right to object — Article 21</w:t>
      </w:r>
    </w:p>
    <w:p w14:paraId="7F365D8E" w14:textId="77777777" w:rsidR="006103B3" w:rsidRPr="000D704D" w:rsidRDefault="00000000">
      <w:pPr>
        <w:spacing w:after="120"/>
        <w:rPr>
          <w:color w:val="000000" w:themeColor="text1"/>
        </w:rPr>
      </w:pPr>
      <w:r w:rsidRPr="000D704D">
        <w:rPr>
          <w:color w:val="000000" w:themeColor="text1"/>
        </w:rPr>
        <w:t>You have the right to object to processing of your personal data where we rely on legitimate interests as the legal basis. We will cease processing unless we can demonstrate compelling legitimate grounds that override your interests.</w:t>
      </w:r>
    </w:p>
    <w:p w14:paraId="63B01E0C" w14:textId="77777777" w:rsidR="006103B3" w:rsidRPr="000D704D" w:rsidRDefault="006103B3">
      <w:pPr>
        <w:spacing w:after="40"/>
        <w:rPr>
          <w:color w:val="000000" w:themeColor="text1"/>
        </w:rPr>
      </w:pPr>
    </w:p>
    <w:p w14:paraId="767DB029" w14:textId="77777777" w:rsidR="006103B3" w:rsidRPr="000D704D" w:rsidRDefault="00000000">
      <w:pPr>
        <w:pStyle w:val="Heading3"/>
        <w:rPr>
          <w:color w:val="000000" w:themeColor="text1"/>
        </w:rPr>
      </w:pPr>
      <w:r w:rsidRPr="000D704D">
        <w:rPr>
          <w:color w:val="000000" w:themeColor="text1"/>
        </w:rPr>
        <w:t>11g. Right to withdraw consent</w:t>
      </w:r>
    </w:p>
    <w:p w14:paraId="4EDC141F" w14:textId="77777777" w:rsidR="006103B3" w:rsidRPr="000D704D" w:rsidRDefault="00000000">
      <w:pPr>
        <w:spacing w:after="120"/>
        <w:rPr>
          <w:color w:val="000000" w:themeColor="text1"/>
        </w:rPr>
      </w:pPr>
      <w:r w:rsidRPr="000D704D">
        <w:rPr>
          <w:color w:val="000000" w:themeColor="text1"/>
        </w:rPr>
        <w:t>Where processing is based on your consent, you have the right to withdraw consent at any time. Withdrawal does not affect the lawfulness of processing before withdrawal.</w:t>
      </w:r>
    </w:p>
    <w:p w14:paraId="6BFCD36F" w14:textId="77777777" w:rsidR="006103B3" w:rsidRPr="000D704D" w:rsidRDefault="006103B3">
      <w:pPr>
        <w:spacing w:after="40"/>
        <w:rPr>
          <w:color w:val="000000" w:themeColor="text1"/>
        </w:rPr>
      </w:pPr>
    </w:p>
    <w:p w14:paraId="5D4831EC" w14:textId="77777777" w:rsidR="006103B3" w:rsidRPr="000D704D" w:rsidRDefault="00000000">
      <w:pPr>
        <w:pStyle w:val="Heading3"/>
        <w:rPr>
          <w:color w:val="000000" w:themeColor="text1"/>
        </w:rPr>
      </w:pPr>
      <w:r w:rsidRPr="000D704D">
        <w:rPr>
          <w:color w:val="000000" w:themeColor="text1"/>
        </w:rPr>
        <w:t>11h. Right to lodge a complaint — Article 77</w:t>
      </w:r>
    </w:p>
    <w:p w14:paraId="35B01A74" w14:textId="77777777" w:rsidR="006103B3" w:rsidRPr="000D704D" w:rsidRDefault="00000000">
      <w:pPr>
        <w:spacing w:after="120"/>
        <w:rPr>
          <w:color w:val="000000" w:themeColor="text1"/>
        </w:rPr>
      </w:pPr>
      <w:r w:rsidRPr="000D704D">
        <w:rPr>
          <w:color w:val="000000" w:themeColor="text1"/>
        </w:rPr>
        <w:t>You have the right to lodge a complaint with the Irish Data Protection Commission (DPC), which is the lead supervisory authority for Navia Health Ltd as an Irish-registered entity.</w:t>
      </w:r>
    </w:p>
    <w:p w14:paraId="3FF3A750" w14:textId="77777777" w:rsidR="006103B3" w:rsidRPr="000D704D" w:rsidRDefault="006103B3">
      <w:pPr>
        <w:spacing w:after="20"/>
        <w:rPr>
          <w:color w:val="000000" w:themeColor="text1"/>
        </w:rPr>
      </w:pPr>
    </w:p>
    <w:p w14:paraId="0166735F" w14:textId="77777777" w:rsidR="006103B3" w:rsidRPr="000D704D" w:rsidRDefault="00000000">
      <w:pPr>
        <w:spacing w:after="120"/>
        <w:rPr>
          <w:color w:val="000000" w:themeColor="text1"/>
        </w:rPr>
      </w:pPr>
      <w:r w:rsidRPr="000D704D">
        <w:rPr>
          <w:color w:val="000000" w:themeColor="text1"/>
        </w:rPr>
        <w:t>Data Protection Commission</w:t>
      </w:r>
    </w:p>
    <w:p w14:paraId="5264A5AE" w14:textId="77777777" w:rsidR="006103B3" w:rsidRPr="000D704D" w:rsidRDefault="00000000">
      <w:pPr>
        <w:spacing w:after="120"/>
        <w:rPr>
          <w:color w:val="000000" w:themeColor="text1"/>
        </w:rPr>
      </w:pPr>
      <w:r w:rsidRPr="000D704D">
        <w:rPr>
          <w:color w:val="000000" w:themeColor="text1"/>
        </w:rPr>
        <w:t>21 Fitzwilliam Square South, Dublin 2, D02 RD28, Ireland</w:t>
      </w:r>
    </w:p>
    <w:p w14:paraId="7A34D774" w14:textId="77777777" w:rsidR="006103B3" w:rsidRPr="000D704D" w:rsidRDefault="00000000">
      <w:pPr>
        <w:spacing w:after="120"/>
        <w:rPr>
          <w:color w:val="000000" w:themeColor="text1"/>
        </w:rPr>
      </w:pPr>
      <w:r w:rsidRPr="000D704D">
        <w:rPr>
          <w:color w:val="000000" w:themeColor="text1"/>
        </w:rPr>
        <w:t>Website: dataprotection.ie</w:t>
      </w:r>
    </w:p>
    <w:p w14:paraId="583A813D" w14:textId="77777777" w:rsidR="006103B3" w:rsidRPr="000D704D" w:rsidRDefault="00000000">
      <w:pPr>
        <w:spacing w:after="120"/>
        <w:rPr>
          <w:color w:val="000000" w:themeColor="text1"/>
        </w:rPr>
      </w:pPr>
      <w:r w:rsidRPr="000D704D">
        <w:rPr>
          <w:color w:val="000000" w:themeColor="text1"/>
        </w:rPr>
        <w:t>Phone: +353 57 868 4800</w:t>
      </w:r>
    </w:p>
    <w:p w14:paraId="577CE3FD" w14:textId="77777777" w:rsidR="006103B3" w:rsidRPr="000D704D" w:rsidRDefault="006103B3">
      <w:pPr>
        <w:spacing w:after="40"/>
        <w:rPr>
          <w:color w:val="000000" w:themeColor="text1"/>
        </w:rPr>
      </w:pPr>
    </w:p>
    <w:p w14:paraId="6D435126" w14:textId="77777777" w:rsidR="006103B3" w:rsidRPr="000D704D" w:rsidRDefault="00000000">
      <w:pPr>
        <w:spacing w:after="120"/>
        <w:rPr>
          <w:color w:val="000000" w:themeColor="text1"/>
        </w:rPr>
      </w:pPr>
      <w:r w:rsidRPr="000D704D">
        <w:rPr>
          <w:color w:val="000000" w:themeColor="text1"/>
        </w:rPr>
        <w:t>To exercise any of your rights, contact us at: privacy@navia.health</w:t>
      </w:r>
    </w:p>
    <w:p w14:paraId="4A8D22C1" w14:textId="77777777" w:rsidR="006103B3" w:rsidRPr="000D704D" w:rsidRDefault="00000000">
      <w:pPr>
        <w:spacing w:after="120"/>
        <w:rPr>
          <w:color w:val="000000" w:themeColor="text1"/>
        </w:rPr>
      </w:pPr>
      <w:r w:rsidRPr="000D704D">
        <w:rPr>
          <w:color w:val="000000" w:themeColor="text1"/>
        </w:rPr>
        <w:t>We will respond to all legitimate requests within 30 days. For complex requests, we may extend this period by a further 60 days and will notify you accordingly.</w:t>
      </w:r>
    </w:p>
    <w:p w14:paraId="237B1B02" w14:textId="77777777" w:rsidR="006103B3" w:rsidRPr="000D704D" w:rsidRDefault="006103B3">
      <w:pPr>
        <w:spacing w:after="80"/>
        <w:rPr>
          <w:color w:val="000000" w:themeColor="text1"/>
        </w:rPr>
      </w:pPr>
    </w:p>
    <w:p w14:paraId="44C7EDD9" w14:textId="77777777" w:rsidR="006103B3" w:rsidRPr="000D704D" w:rsidRDefault="00000000">
      <w:pPr>
        <w:pStyle w:val="Heading1"/>
        <w:rPr>
          <w:color w:val="000000" w:themeColor="text1"/>
        </w:rPr>
      </w:pPr>
      <w:r w:rsidRPr="000D704D">
        <w:rPr>
          <w:color w:val="000000" w:themeColor="text1"/>
        </w:rPr>
        <w:t>12. Cookies</w:t>
      </w:r>
    </w:p>
    <w:p w14:paraId="44FC7AAB" w14:textId="77777777" w:rsidR="006103B3" w:rsidRPr="000D704D" w:rsidRDefault="00000000">
      <w:pPr>
        <w:pStyle w:val="Heading3"/>
        <w:rPr>
          <w:color w:val="000000" w:themeColor="text1"/>
        </w:rPr>
      </w:pPr>
      <w:r w:rsidRPr="000D704D">
        <w:rPr>
          <w:color w:val="000000" w:themeColor="text1"/>
        </w:rPr>
        <w:t>12a. Cookie categories</w:t>
      </w:r>
    </w:p>
    <w:p w14:paraId="24FACDFC" w14:textId="77777777" w:rsidR="006103B3" w:rsidRPr="000D704D" w:rsidRDefault="00000000">
      <w:pPr>
        <w:spacing w:after="120"/>
        <w:rPr>
          <w:color w:val="000000" w:themeColor="text1"/>
        </w:rPr>
      </w:pPr>
      <w:r w:rsidRPr="000D704D">
        <w:rPr>
          <w:color w:val="000000" w:themeColor="text1"/>
        </w:rPr>
        <w:t>Navia uses cookies in the following categories:</w:t>
      </w:r>
    </w:p>
    <w:p w14:paraId="44BD0A8C" w14:textId="77777777" w:rsidR="006103B3" w:rsidRPr="000D704D" w:rsidRDefault="006103B3">
      <w:pPr>
        <w:spacing w:after="40"/>
        <w:rPr>
          <w:color w:val="000000" w:themeColor="text1"/>
        </w:rPr>
      </w:pPr>
    </w:p>
    <w:p w14:paraId="234A7A12" w14:textId="77777777" w:rsidR="006103B3" w:rsidRPr="000D704D" w:rsidRDefault="00000000">
      <w:pPr>
        <w:pStyle w:val="ListParagraph"/>
        <w:numPr>
          <w:ilvl w:val="0"/>
          <w:numId w:val="2"/>
        </w:numPr>
        <w:spacing w:after="80"/>
        <w:rPr>
          <w:color w:val="000000" w:themeColor="text1"/>
        </w:rPr>
      </w:pPr>
      <w:r w:rsidRPr="000D704D">
        <w:rPr>
          <w:color w:val="000000" w:themeColor="text1"/>
        </w:rPr>
        <w:t>Strictly necessary cookies: essential for authentication, session management, and core platform functionality. These run without consent and cannot be disabled while using the Service.</w:t>
      </w:r>
    </w:p>
    <w:p w14:paraId="7B39DCE0" w14:textId="77777777" w:rsidR="006103B3" w:rsidRPr="000D704D" w:rsidRDefault="00000000">
      <w:pPr>
        <w:pStyle w:val="ListParagraph"/>
        <w:numPr>
          <w:ilvl w:val="0"/>
          <w:numId w:val="2"/>
        </w:numPr>
        <w:spacing w:after="80"/>
        <w:rPr>
          <w:color w:val="000000" w:themeColor="text1"/>
        </w:rPr>
      </w:pPr>
      <w:r w:rsidRPr="000D704D">
        <w:rPr>
          <w:color w:val="000000" w:themeColor="text1"/>
        </w:rPr>
        <w:t>Functional cookies: remember your preferences such as saved filters and display settings. These require consent.</w:t>
      </w:r>
    </w:p>
    <w:p w14:paraId="75DB837E" w14:textId="77777777" w:rsidR="006103B3" w:rsidRPr="000D704D" w:rsidRDefault="00000000">
      <w:pPr>
        <w:pStyle w:val="ListParagraph"/>
        <w:numPr>
          <w:ilvl w:val="0"/>
          <w:numId w:val="2"/>
        </w:numPr>
        <w:spacing w:after="80"/>
        <w:rPr>
          <w:color w:val="000000" w:themeColor="text1"/>
        </w:rPr>
      </w:pPr>
      <w:r w:rsidRPr="000D704D">
        <w:rPr>
          <w:color w:val="000000" w:themeColor="text1"/>
        </w:rPr>
        <w:t>Analytics cookies: collect anonymised information about how the platform is used to help us improve it. These require consent.</w:t>
      </w:r>
    </w:p>
    <w:p w14:paraId="01507E3A" w14:textId="77777777" w:rsidR="006103B3" w:rsidRPr="000D704D" w:rsidRDefault="006103B3">
      <w:pPr>
        <w:spacing w:after="40"/>
        <w:rPr>
          <w:color w:val="000000" w:themeColor="text1"/>
        </w:rPr>
      </w:pPr>
    </w:p>
    <w:p w14:paraId="08071785" w14:textId="77777777" w:rsidR="006103B3" w:rsidRPr="000D704D" w:rsidRDefault="00000000">
      <w:pPr>
        <w:pStyle w:val="Heading3"/>
        <w:rPr>
          <w:color w:val="000000" w:themeColor="text1"/>
        </w:rPr>
      </w:pPr>
      <w:r w:rsidRPr="000D704D">
        <w:rPr>
          <w:color w:val="000000" w:themeColor="text1"/>
        </w:rPr>
        <w:t>12b. Your cookie choices</w:t>
      </w:r>
    </w:p>
    <w:p w14:paraId="131DEF62" w14:textId="77777777" w:rsidR="006103B3" w:rsidRPr="000D704D" w:rsidRDefault="00000000">
      <w:pPr>
        <w:spacing w:after="120"/>
        <w:rPr>
          <w:color w:val="000000" w:themeColor="text1"/>
        </w:rPr>
      </w:pPr>
      <w:r w:rsidRPr="000D704D">
        <w:rPr>
          <w:color w:val="000000" w:themeColor="text1"/>
        </w:rPr>
        <w:t xml:space="preserve">On your first visit to the platform, you will be presented with a cookie consent banner allowing you to accept or decline non-essential cookies. You may change your cookie preferences at any </w:t>
      </w:r>
      <w:r w:rsidRPr="000D704D">
        <w:rPr>
          <w:color w:val="000000" w:themeColor="text1"/>
        </w:rPr>
        <w:lastRenderedPageBreak/>
        <w:t>time through the platform settings. Declining analytics and functional cookies will not prevent you from using the core Service.</w:t>
      </w:r>
    </w:p>
    <w:p w14:paraId="7E754C11" w14:textId="77777777" w:rsidR="006103B3" w:rsidRPr="000D704D" w:rsidRDefault="006103B3">
      <w:pPr>
        <w:spacing w:after="80"/>
        <w:rPr>
          <w:color w:val="000000" w:themeColor="text1"/>
        </w:rPr>
      </w:pPr>
    </w:p>
    <w:p w14:paraId="74F418FA" w14:textId="77777777" w:rsidR="006103B3" w:rsidRPr="000D704D" w:rsidRDefault="00000000">
      <w:pPr>
        <w:pStyle w:val="Heading1"/>
        <w:rPr>
          <w:color w:val="000000" w:themeColor="text1"/>
        </w:rPr>
      </w:pPr>
      <w:r w:rsidRPr="000D704D">
        <w:rPr>
          <w:color w:val="000000" w:themeColor="text1"/>
        </w:rPr>
        <w:t>13. International Data Transfers</w:t>
      </w:r>
    </w:p>
    <w:p w14:paraId="536F2D86" w14:textId="77777777" w:rsidR="006103B3" w:rsidRPr="000D704D" w:rsidRDefault="00000000">
      <w:pPr>
        <w:spacing w:after="120"/>
        <w:rPr>
          <w:color w:val="000000" w:themeColor="text1"/>
        </w:rPr>
      </w:pPr>
      <w:r w:rsidRPr="000D704D">
        <w:rPr>
          <w:color w:val="000000" w:themeColor="text1"/>
        </w:rPr>
        <w:t>Where your personal data is transferred outside the European Economic Area, we ensure that appropriate safeguards are in place in accordance with Chapter V GDPR. These safeguards include:</w:t>
      </w:r>
    </w:p>
    <w:p w14:paraId="6B324D83" w14:textId="77777777" w:rsidR="006103B3" w:rsidRPr="000D704D" w:rsidRDefault="00000000">
      <w:pPr>
        <w:pStyle w:val="ListParagraph"/>
        <w:numPr>
          <w:ilvl w:val="0"/>
          <w:numId w:val="2"/>
        </w:numPr>
        <w:spacing w:after="80"/>
        <w:rPr>
          <w:color w:val="000000" w:themeColor="text1"/>
        </w:rPr>
      </w:pPr>
      <w:r w:rsidRPr="000D704D">
        <w:rPr>
          <w:color w:val="000000" w:themeColor="text1"/>
        </w:rPr>
        <w:t>Standard Contractual Clauses (SCCs) approved by the European Commission</w:t>
      </w:r>
    </w:p>
    <w:p w14:paraId="03D480A5" w14:textId="77777777" w:rsidR="006103B3" w:rsidRPr="000D704D" w:rsidRDefault="00000000">
      <w:pPr>
        <w:pStyle w:val="ListParagraph"/>
        <w:numPr>
          <w:ilvl w:val="0"/>
          <w:numId w:val="2"/>
        </w:numPr>
        <w:spacing w:after="80"/>
        <w:rPr>
          <w:color w:val="000000" w:themeColor="text1"/>
        </w:rPr>
      </w:pPr>
      <w:r w:rsidRPr="000D704D">
        <w:rPr>
          <w:color w:val="000000" w:themeColor="text1"/>
        </w:rPr>
        <w:t>Adequacy decisions issued by the European Commission in respect of the destination country</w:t>
      </w:r>
    </w:p>
    <w:p w14:paraId="0A57FC8E" w14:textId="77777777" w:rsidR="006103B3" w:rsidRPr="000D704D" w:rsidRDefault="00000000">
      <w:pPr>
        <w:pStyle w:val="ListParagraph"/>
        <w:numPr>
          <w:ilvl w:val="0"/>
          <w:numId w:val="2"/>
        </w:numPr>
        <w:spacing w:after="80"/>
        <w:rPr>
          <w:color w:val="000000" w:themeColor="text1"/>
        </w:rPr>
      </w:pPr>
      <w:r w:rsidRPr="000D704D">
        <w:rPr>
          <w:color w:val="000000" w:themeColor="text1"/>
        </w:rPr>
        <w:t>Binding Corporate Rules where applicable</w:t>
      </w:r>
    </w:p>
    <w:p w14:paraId="6C80996B" w14:textId="77777777" w:rsidR="006103B3" w:rsidRPr="000D704D" w:rsidRDefault="00000000">
      <w:pPr>
        <w:spacing w:after="120"/>
        <w:rPr>
          <w:color w:val="000000" w:themeColor="text1"/>
        </w:rPr>
      </w:pPr>
      <w:r w:rsidRPr="000D704D">
        <w:rPr>
          <w:color w:val="000000" w:themeColor="text1"/>
        </w:rPr>
        <w:t>Details of the safeguards applicable to any specific transfer are available on request at privacy@navia.health.</w:t>
      </w:r>
    </w:p>
    <w:p w14:paraId="1C8A82CD" w14:textId="77777777" w:rsidR="006103B3" w:rsidRPr="000D704D" w:rsidRDefault="006103B3">
      <w:pPr>
        <w:spacing w:after="80"/>
        <w:rPr>
          <w:color w:val="000000" w:themeColor="text1"/>
        </w:rPr>
      </w:pPr>
    </w:p>
    <w:p w14:paraId="08C8BFBA" w14:textId="77777777" w:rsidR="006103B3" w:rsidRPr="000D704D" w:rsidRDefault="00000000">
      <w:pPr>
        <w:pStyle w:val="Heading1"/>
        <w:rPr>
          <w:color w:val="000000" w:themeColor="text1"/>
        </w:rPr>
      </w:pPr>
      <w:r w:rsidRPr="000D704D">
        <w:rPr>
          <w:color w:val="000000" w:themeColor="text1"/>
        </w:rPr>
        <w:t>14. Children's Data</w:t>
      </w:r>
    </w:p>
    <w:p w14:paraId="18700077" w14:textId="77777777" w:rsidR="006103B3" w:rsidRPr="000D704D" w:rsidRDefault="00000000">
      <w:pPr>
        <w:spacing w:after="120"/>
        <w:rPr>
          <w:color w:val="000000" w:themeColor="text1"/>
        </w:rPr>
      </w:pPr>
      <w:r w:rsidRPr="000D704D">
        <w:rPr>
          <w:color w:val="000000" w:themeColor="text1"/>
        </w:rPr>
        <w:t>The Navia platform is not directed at children under the age of 16 and we do not knowingly collect personal data from children under 16. If you believe we have inadvertently collected such data, please contact privacy@navia.health and we will delete it promptly.</w:t>
      </w:r>
    </w:p>
    <w:p w14:paraId="1BCE8A0F" w14:textId="77777777" w:rsidR="006103B3" w:rsidRPr="000D704D" w:rsidRDefault="006103B3">
      <w:pPr>
        <w:spacing w:after="80"/>
        <w:rPr>
          <w:color w:val="000000" w:themeColor="text1"/>
        </w:rPr>
      </w:pPr>
    </w:p>
    <w:p w14:paraId="5D931719" w14:textId="77777777" w:rsidR="006103B3" w:rsidRPr="000D704D" w:rsidRDefault="00000000">
      <w:pPr>
        <w:pStyle w:val="Heading1"/>
        <w:rPr>
          <w:color w:val="000000" w:themeColor="text1"/>
        </w:rPr>
      </w:pPr>
      <w:r w:rsidRPr="000D704D">
        <w:rPr>
          <w:color w:val="000000" w:themeColor="text1"/>
        </w:rPr>
        <w:t>15. Changes to This Policy</w:t>
      </w:r>
    </w:p>
    <w:p w14:paraId="6EE9F604" w14:textId="77777777" w:rsidR="006103B3" w:rsidRPr="000D704D" w:rsidRDefault="00000000">
      <w:pPr>
        <w:spacing w:after="120"/>
        <w:rPr>
          <w:color w:val="000000" w:themeColor="text1"/>
        </w:rPr>
      </w:pPr>
      <w:r w:rsidRPr="000D704D">
        <w:rPr>
          <w:color w:val="000000" w:themeColor="text1"/>
        </w:rPr>
        <w:t>We may update this Privacy Policy from time to time to reflect changes in our processing activities, legal requirements, or platform features. We will not make changes that reduce your rights without providing clear advance notice.</w:t>
      </w:r>
    </w:p>
    <w:p w14:paraId="208FF2CA" w14:textId="77777777" w:rsidR="006103B3" w:rsidRPr="000D704D" w:rsidRDefault="00000000">
      <w:pPr>
        <w:spacing w:after="120"/>
        <w:rPr>
          <w:color w:val="000000" w:themeColor="text1"/>
        </w:rPr>
      </w:pPr>
      <w:r w:rsidRPr="000D704D">
        <w:rPr>
          <w:color w:val="000000" w:themeColor="text1"/>
        </w:rPr>
        <w:t>For material changes that affect how we process your personal data:</w:t>
      </w:r>
    </w:p>
    <w:p w14:paraId="4D61E21C" w14:textId="77777777" w:rsidR="006103B3" w:rsidRPr="000D704D" w:rsidRDefault="00000000">
      <w:pPr>
        <w:pStyle w:val="ListParagraph"/>
        <w:numPr>
          <w:ilvl w:val="0"/>
          <w:numId w:val="2"/>
        </w:numPr>
        <w:spacing w:after="80"/>
        <w:rPr>
          <w:color w:val="000000" w:themeColor="text1"/>
        </w:rPr>
      </w:pPr>
      <w:r w:rsidRPr="000D704D">
        <w:rPr>
          <w:color w:val="000000" w:themeColor="text1"/>
        </w:rPr>
        <w:t>We will notify you by email to the address registered to your account at least 30 days before the changes take effect</w:t>
      </w:r>
    </w:p>
    <w:p w14:paraId="3F2C24E3" w14:textId="77777777" w:rsidR="006103B3" w:rsidRPr="000D704D" w:rsidRDefault="00000000">
      <w:pPr>
        <w:pStyle w:val="ListParagraph"/>
        <w:numPr>
          <w:ilvl w:val="0"/>
          <w:numId w:val="2"/>
        </w:numPr>
        <w:spacing w:after="80"/>
        <w:rPr>
          <w:color w:val="000000" w:themeColor="text1"/>
        </w:rPr>
      </w:pPr>
      <w:r w:rsidRPr="000D704D">
        <w:rPr>
          <w:color w:val="000000" w:themeColor="text1"/>
        </w:rPr>
        <w:t>Where required by GDPR, we will seek your fresh consent before implementing changes that affect consent-based processing</w:t>
      </w:r>
    </w:p>
    <w:p w14:paraId="1B8FF4B4" w14:textId="77777777" w:rsidR="006103B3" w:rsidRPr="000D704D" w:rsidRDefault="00000000">
      <w:pPr>
        <w:pStyle w:val="ListParagraph"/>
        <w:numPr>
          <w:ilvl w:val="0"/>
          <w:numId w:val="2"/>
        </w:numPr>
        <w:spacing w:after="80"/>
        <w:rPr>
          <w:color w:val="000000" w:themeColor="text1"/>
        </w:rPr>
      </w:pPr>
      <w:r w:rsidRPr="000D704D">
        <w:rPr>
          <w:color w:val="000000" w:themeColor="text1"/>
        </w:rPr>
        <w:t>We will update the Last Updated date at the top of this policy</w:t>
      </w:r>
    </w:p>
    <w:p w14:paraId="7CAB67DE" w14:textId="77777777" w:rsidR="006103B3" w:rsidRPr="000D704D" w:rsidRDefault="00000000">
      <w:pPr>
        <w:spacing w:after="120"/>
        <w:rPr>
          <w:color w:val="000000" w:themeColor="text1"/>
        </w:rPr>
      </w:pPr>
      <w:r w:rsidRPr="000D704D">
        <w:rPr>
          <w:color w:val="000000" w:themeColor="text1"/>
        </w:rPr>
        <w:t>Continued use of the Service after notification of material changes does not constitute consent to those changes where consent is legally required as the processing basis.</w:t>
      </w:r>
    </w:p>
    <w:p w14:paraId="56BC9E9E" w14:textId="77777777" w:rsidR="006103B3" w:rsidRPr="000D704D" w:rsidRDefault="006103B3">
      <w:pPr>
        <w:spacing w:after="80"/>
        <w:rPr>
          <w:color w:val="000000" w:themeColor="text1"/>
        </w:rPr>
      </w:pPr>
    </w:p>
    <w:p w14:paraId="1D1DEDB1" w14:textId="77777777" w:rsidR="006103B3" w:rsidRPr="000D704D" w:rsidRDefault="00000000">
      <w:pPr>
        <w:pStyle w:val="Heading1"/>
        <w:rPr>
          <w:color w:val="000000" w:themeColor="text1"/>
        </w:rPr>
      </w:pPr>
      <w:r w:rsidRPr="000D704D">
        <w:rPr>
          <w:color w:val="000000" w:themeColor="text1"/>
        </w:rPr>
        <w:t>16. Contact</w:t>
      </w:r>
    </w:p>
    <w:p w14:paraId="20344E0F" w14:textId="77777777" w:rsidR="006103B3" w:rsidRPr="000D704D" w:rsidRDefault="00000000">
      <w:pPr>
        <w:spacing w:after="120"/>
        <w:rPr>
          <w:color w:val="000000" w:themeColor="text1"/>
        </w:rPr>
      </w:pPr>
      <w:r w:rsidRPr="000D704D">
        <w:rPr>
          <w:color w:val="000000" w:themeColor="text1"/>
        </w:rPr>
        <w:t>For all privacy-related enquiries, requests to exercise your rights, or questions about this policy:</w:t>
      </w:r>
    </w:p>
    <w:p w14:paraId="11A3561E" w14:textId="77777777" w:rsidR="006103B3" w:rsidRPr="000D704D" w:rsidRDefault="006103B3">
      <w:pPr>
        <w:spacing w:after="20"/>
        <w:rPr>
          <w:color w:val="000000" w:themeColor="text1"/>
        </w:rPr>
      </w:pPr>
    </w:p>
    <w:p w14:paraId="422B6702" w14:textId="77777777" w:rsidR="006103B3" w:rsidRPr="000D704D" w:rsidRDefault="00000000">
      <w:pPr>
        <w:spacing w:after="120"/>
        <w:rPr>
          <w:color w:val="000000" w:themeColor="text1"/>
        </w:rPr>
      </w:pPr>
      <w:r w:rsidRPr="000D704D">
        <w:rPr>
          <w:color w:val="000000" w:themeColor="text1"/>
        </w:rPr>
        <w:t>Email: privacy@navia.health</w:t>
      </w:r>
    </w:p>
    <w:p w14:paraId="161B94B7" w14:textId="77777777" w:rsidR="006103B3" w:rsidRPr="000D704D" w:rsidRDefault="00000000">
      <w:pPr>
        <w:spacing w:after="120"/>
        <w:rPr>
          <w:color w:val="000000" w:themeColor="text1"/>
        </w:rPr>
      </w:pPr>
      <w:r w:rsidRPr="000D704D">
        <w:rPr>
          <w:color w:val="000000" w:themeColor="text1"/>
        </w:rPr>
        <w:t>Navia Health Ltd, Ireland</w:t>
      </w:r>
    </w:p>
    <w:p w14:paraId="3B24F3EB" w14:textId="77777777" w:rsidR="006103B3" w:rsidRPr="000D704D" w:rsidRDefault="006103B3">
      <w:pPr>
        <w:spacing w:after="40"/>
        <w:rPr>
          <w:color w:val="000000" w:themeColor="text1"/>
        </w:rPr>
      </w:pPr>
    </w:p>
    <w:p w14:paraId="13AE4422" w14:textId="77777777" w:rsidR="006103B3" w:rsidRDefault="00000000">
      <w:pPr>
        <w:spacing w:after="120"/>
      </w:pPr>
      <w:r w:rsidRPr="000D704D">
        <w:rPr>
          <w:i/>
          <w:iCs/>
          <w:color w:val="000000" w:themeColor="text1"/>
        </w:rPr>
        <w:t>We are committed to working with you to resolve any concerns about your personal data. If we are unable to resolve your concern, you retain the right to lodge a complaint with the Data Protection Commission as described in Section 11</w:t>
      </w:r>
      <w:r>
        <w:rPr>
          <w:i/>
          <w:iCs/>
        </w:rPr>
        <w:t>h.</w:t>
      </w:r>
    </w:p>
    <w:sectPr w:rsidR="006103B3">
      <w:headerReference w:type="default" r:id="rId7"/>
      <w:pgSz w:w="12240" w:h="15840"/>
      <w:pgMar w:top="120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2B8C" w14:textId="77777777" w:rsidR="00D16AF4" w:rsidRDefault="00D16AF4">
      <w:r>
        <w:separator/>
      </w:r>
    </w:p>
  </w:endnote>
  <w:endnote w:type="continuationSeparator" w:id="0">
    <w:p w14:paraId="4FC5D01D" w14:textId="77777777" w:rsidR="00D16AF4" w:rsidRDefault="00D1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9319" w14:textId="77777777" w:rsidR="00D16AF4" w:rsidRDefault="00D16AF4">
      <w:r>
        <w:separator/>
      </w:r>
    </w:p>
  </w:footnote>
  <w:footnote w:type="continuationSeparator" w:id="0">
    <w:p w14:paraId="6EEDF3A0" w14:textId="77777777" w:rsidR="00D16AF4" w:rsidRDefault="00D1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6671" w14:textId="1F8E6035" w:rsidR="004664CD" w:rsidRDefault="004664CD">
    <w:pPr>
      <w:pBdr>
        <w:bottom w:val="single" w:sz="2" w:space="4" w:color="DDDDDD"/>
      </w:pBdr>
      <w:spacing w:after="120"/>
      <w:rPr>
        <w:color w:val="888888"/>
        <w:sz w:val="16"/>
        <w:szCs w:val="16"/>
      </w:rPr>
    </w:pPr>
    <w:r>
      <w:rPr>
        <w:noProof/>
        <w:color w:val="888888"/>
        <w:sz w:val="16"/>
        <w:szCs w:val="16"/>
      </w:rPr>
      <w:drawing>
        <wp:inline distT="0" distB="0" distL="0" distR="0" wp14:anchorId="340DA6D3" wp14:editId="6E877C45">
          <wp:extent cx="1860698" cy="317073"/>
          <wp:effectExtent l="0" t="0" r="0" b="0"/>
          <wp:docPr id="6410191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19197" name="Graphic 641019197"/>
                  <pic:cNvPicPr/>
                </pic:nvPicPr>
                <pic:blipFill>
                  <a:blip r:embed="rId1">
                    <a:extLst>
                      <a:ext uri="{96DAC541-7B7A-43D3-8B79-37D633B846F1}">
                        <asvg:svgBlip xmlns:asvg="http://schemas.microsoft.com/office/drawing/2016/SVG/main" r:embed="rId2"/>
                      </a:ext>
                    </a:extLst>
                  </a:blip>
                  <a:stretch>
                    <a:fillRect/>
                  </a:stretch>
                </pic:blipFill>
                <pic:spPr>
                  <a:xfrm>
                    <a:off x="0" y="0"/>
                    <a:ext cx="2000439" cy="340886"/>
                  </a:xfrm>
                  <a:prstGeom prst="rect">
                    <a:avLst/>
                  </a:prstGeom>
                </pic:spPr>
              </pic:pic>
            </a:graphicData>
          </a:graphic>
        </wp:inline>
      </w:drawing>
    </w:r>
  </w:p>
  <w:p w14:paraId="607BDD8A" w14:textId="1306CFFA" w:rsidR="006103B3" w:rsidRDefault="00000000">
    <w:pPr>
      <w:pBdr>
        <w:bottom w:val="single" w:sz="2" w:space="4" w:color="DDDDDD"/>
      </w:pBdr>
      <w:spacing w:after="120"/>
    </w:pPr>
    <w:r>
      <w:rPr>
        <w:color w:val="888888"/>
        <w:sz w:val="16"/>
        <w:szCs w:val="16"/>
      </w:rPr>
      <w:t>NAVIA HEALTH LTD  —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579EC"/>
    <w:multiLevelType w:val="hybridMultilevel"/>
    <w:tmpl w:val="4DCCE6EE"/>
    <w:lvl w:ilvl="0" w:tplc="C3DAF8A4">
      <w:start w:val="1"/>
      <w:numFmt w:val="bullet"/>
      <w:lvlText w:val="•"/>
      <w:lvlJc w:val="left"/>
      <w:pPr>
        <w:ind w:left="720" w:hanging="360"/>
      </w:pPr>
      <w:rPr>
        <w:rFonts w:ascii="Symbol" w:eastAsia="Symbol" w:hAnsi="Symbol" w:cs="Symbol"/>
      </w:rPr>
    </w:lvl>
    <w:lvl w:ilvl="1" w:tplc="4934D1AC">
      <w:numFmt w:val="decimal"/>
      <w:lvlText w:val=""/>
      <w:lvlJc w:val="left"/>
    </w:lvl>
    <w:lvl w:ilvl="2" w:tplc="52CAA7A4">
      <w:numFmt w:val="decimal"/>
      <w:lvlText w:val=""/>
      <w:lvlJc w:val="left"/>
    </w:lvl>
    <w:lvl w:ilvl="3" w:tplc="E9CE0C3E">
      <w:numFmt w:val="decimal"/>
      <w:lvlText w:val=""/>
      <w:lvlJc w:val="left"/>
    </w:lvl>
    <w:lvl w:ilvl="4" w:tplc="1748694A">
      <w:numFmt w:val="decimal"/>
      <w:lvlText w:val=""/>
      <w:lvlJc w:val="left"/>
    </w:lvl>
    <w:lvl w:ilvl="5" w:tplc="D3BE9B40">
      <w:numFmt w:val="decimal"/>
      <w:lvlText w:val=""/>
      <w:lvlJc w:val="left"/>
    </w:lvl>
    <w:lvl w:ilvl="6" w:tplc="76C02E10">
      <w:numFmt w:val="decimal"/>
      <w:lvlText w:val=""/>
      <w:lvlJc w:val="left"/>
    </w:lvl>
    <w:lvl w:ilvl="7" w:tplc="767AB58C">
      <w:numFmt w:val="decimal"/>
      <w:lvlText w:val=""/>
      <w:lvlJc w:val="left"/>
    </w:lvl>
    <w:lvl w:ilvl="8" w:tplc="3AD42F30">
      <w:numFmt w:val="decimal"/>
      <w:lvlText w:val=""/>
      <w:lvlJc w:val="left"/>
    </w:lvl>
  </w:abstractNum>
  <w:abstractNum w:abstractNumId="1" w15:restartNumberingAfterBreak="0">
    <w:nsid w:val="3D692831"/>
    <w:multiLevelType w:val="hybridMultilevel"/>
    <w:tmpl w:val="3E7A21F0"/>
    <w:lvl w:ilvl="0" w:tplc="417EFA56">
      <w:start w:val="1"/>
      <w:numFmt w:val="bullet"/>
      <w:lvlText w:val="◦"/>
      <w:lvlJc w:val="left"/>
      <w:pPr>
        <w:ind w:left="1080" w:hanging="360"/>
      </w:pPr>
      <w:rPr>
        <w:rFonts w:ascii="Courier New" w:eastAsia="Courier New" w:hAnsi="Courier New" w:cs="Courier New"/>
      </w:rPr>
    </w:lvl>
    <w:lvl w:ilvl="1" w:tplc="65A49A50">
      <w:numFmt w:val="decimal"/>
      <w:lvlText w:val=""/>
      <w:lvlJc w:val="left"/>
    </w:lvl>
    <w:lvl w:ilvl="2" w:tplc="58A06D48">
      <w:numFmt w:val="decimal"/>
      <w:lvlText w:val=""/>
      <w:lvlJc w:val="left"/>
    </w:lvl>
    <w:lvl w:ilvl="3" w:tplc="C3B22038">
      <w:numFmt w:val="decimal"/>
      <w:lvlText w:val=""/>
      <w:lvlJc w:val="left"/>
    </w:lvl>
    <w:lvl w:ilvl="4" w:tplc="8D08CC62">
      <w:numFmt w:val="decimal"/>
      <w:lvlText w:val=""/>
      <w:lvlJc w:val="left"/>
    </w:lvl>
    <w:lvl w:ilvl="5" w:tplc="6484929A">
      <w:numFmt w:val="decimal"/>
      <w:lvlText w:val=""/>
      <w:lvlJc w:val="left"/>
    </w:lvl>
    <w:lvl w:ilvl="6" w:tplc="85AEFFCC">
      <w:numFmt w:val="decimal"/>
      <w:lvlText w:val=""/>
      <w:lvlJc w:val="left"/>
    </w:lvl>
    <w:lvl w:ilvl="7" w:tplc="EE20FD1A">
      <w:numFmt w:val="decimal"/>
      <w:lvlText w:val=""/>
      <w:lvlJc w:val="left"/>
    </w:lvl>
    <w:lvl w:ilvl="8" w:tplc="76622C0E">
      <w:numFmt w:val="decimal"/>
      <w:lvlText w:val=""/>
      <w:lvlJc w:val="left"/>
    </w:lvl>
  </w:abstractNum>
  <w:abstractNum w:abstractNumId="2" w15:restartNumberingAfterBreak="0">
    <w:nsid w:val="42283777"/>
    <w:multiLevelType w:val="hybridMultilevel"/>
    <w:tmpl w:val="115EBFFA"/>
    <w:lvl w:ilvl="0" w:tplc="6C5EAC80">
      <w:start w:val="1"/>
      <w:numFmt w:val="bullet"/>
      <w:lvlText w:val="●"/>
      <w:lvlJc w:val="left"/>
      <w:pPr>
        <w:ind w:left="720" w:hanging="360"/>
      </w:pPr>
    </w:lvl>
    <w:lvl w:ilvl="1" w:tplc="5AF24832">
      <w:start w:val="1"/>
      <w:numFmt w:val="bullet"/>
      <w:lvlText w:val="○"/>
      <w:lvlJc w:val="left"/>
      <w:pPr>
        <w:ind w:left="1440" w:hanging="360"/>
      </w:pPr>
    </w:lvl>
    <w:lvl w:ilvl="2" w:tplc="33E42942">
      <w:start w:val="1"/>
      <w:numFmt w:val="bullet"/>
      <w:lvlText w:val="■"/>
      <w:lvlJc w:val="left"/>
      <w:pPr>
        <w:ind w:left="2160" w:hanging="360"/>
      </w:pPr>
    </w:lvl>
    <w:lvl w:ilvl="3" w:tplc="1C36B7D4">
      <w:start w:val="1"/>
      <w:numFmt w:val="bullet"/>
      <w:lvlText w:val="●"/>
      <w:lvlJc w:val="left"/>
      <w:pPr>
        <w:ind w:left="2880" w:hanging="360"/>
      </w:pPr>
    </w:lvl>
    <w:lvl w:ilvl="4" w:tplc="AE0C8A4E">
      <w:start w:val="1"/>
      <w:numFmt w:val="bullet"/>
      <w:lvlText w:val="○"/>
      <w:lvlJc w:val="left"/>
      <w:pPr>
        <w:ind w:left="3600" w:hanging="360"/>
      </w:pPr>
    </w:lvl>
    <w:lvl w:ilvl="5" w:tplc="4B4628CC">
      <w:start w:val="1"/>
      <w:numFmt w:val="bullet"/>
      <w:lvlText w:val="■"/>
      <w:lvlJc w:val="left"/>
      <w:pPr>
        <w:ind w:left="4320" w:hanging="360"/>
      </w:pPr>
    </w:lvl>
    <w:lvl w:ilvl="6" w:tplc="89E82CD0">
      <w:start w:val="1"/>
      <w:numFmt w:val="bullet"/>
      <w:lvlText w:val="●"/>
      <w:lvlJc w:val="left"/>
      <w:pPr>
        <w:ind w:left="5040" w:hanging="360"/>
      </w:pPr>
    </w:lvl>
    <w:lvl w:ilvl="7" w:tplc="91806290">
      <w:start w:val="1"/>
      <w:numFmt w:val="bullet"/>
      <w:lvlText w:val="●"/>
      <w:lvlJc w:val="left"/>
      <w:pPr>
        <w:ind w:left="5760" w:hanging="360"/>
      </w:pPr>
    </w:lvl>
    <w:lvl w:ilvl="8" w:tplc="8F927F52">
      <w:start w:val="1"/>
      <w:numFmt w:val="bullet"/>
      <w:lvlText w:val="●"/>
      <w:lvlJc w:val="left"/>
      <w:pPr>
        <w:ind w:left="6480" w:hanging="360"/>
      </w:pPr>
    </w:lvl>
  </w:abstractNum>
  <w:num w:numId="1" w16cid:durableId="1760447719">
    <w:abstractNumId w:val="2"/>
    <w:lvlOverride w:ilvl="0">
      <w:startOverride w:val="1"/>
    </w:lvlOverride>
  </w:num>
  <w:num w:numId="2" w16cid:durableId="3560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3B3"/>
    <w:rsid w:val="000D704D"/>
    <w:rsid w:val="004664CD"/>
    <w:rsid w:val="006100D6"/>
    <w:rsid w:val="006103B3"/>
    <w:rsid w:val="00C86344"/>
    <w:rsid w:val="00D16AF4"/>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18DBC03F"/>
  <w15:docId w15:val="{7B65DC2D-C243-3547-A6CA-E2EE5D49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4" w:color="3D7FC1"/>
      </w:pBdr>
      <w:spacing w:before="320" w:after="160"/>
      <w:outlineLvl w:val="0"/>
    </w:pPr>
    <w:rPr>
      <w:b/>
      <w:bCs/>
      <w:color w:val="07111D"/>
      <w:sz w:val="30"/>
      <w:szCs w:val="30"/>
    </w:rPr>
  </w:style>
  <w:style w:type="paragraph" w:styleId="Heading2">
    <w:name w:val="heading 2"/>
    <w:uiPriority w:val="9"/>
    <w:unhideWhenUsed/>
    <w:qFormat/>
    <w:pPr>
      <w:spacing w:before="240" w:after="120"/>
      <w:outlineLvl w:val="1"/>
    </w:pPr>
    <w:rPr>
      <w:b/>
      <w:bCs/>
      <w:color w:val="1A5C9E"/>
      <w:sz w:val="24"/>
      <w:szCs w:val="24"/>
    </w:rPr>
  </w:style>
  <w:style w:type="paragraph" w:styleId="Heading3">
    <w:name w:val="heading 3"/>
    <w:uiPriority w:val="9"/>
    <w:unhideWhenUsed/>
    <w:qFormat/>
    <w:pPr>
      <w:spacing w:before="160" w:after="80"/>
      <w:outlineLvl w:val="2"/>
    </w:pPr>
    <w:rPr>
      <w:b/>
      <w:bCs/>
      <w:color w:val="55555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664CD"/>
    <w:pPr>
      <w:tabs>
        <w:tab w:val="center" w:pos="4513"/>
        <w:tab w:val="right" w:pos="9026"/>
      </w:tabs>
    </w:pPr>
  </w:style>
  <w:style w:type="character" w:customStyle="1" w:styleId="HeaderChar">
    <w:name w:val="Header Char"/>
    <w:basedOn w:val="DefaultParagraphFont"/>
    <w:link w:val="Header"/>
    <w:uiPriority w:val="99"/>
    <w:rsid w:val="004664CD"/>
  </w:style>
  <w:style w:type="paragraph" w:styleId="Footer">
    <w:name w:val="footer"/>
    <w:basedOn w:val="Normal"/>
    <w:link w:val="FooterChar"/>
    <w:uiPriority w:val="99"/>
    <w:unhideWhenUsed/>
    <w:rsid w:val="004664CD"/>
    <w:pPr>
      <w:tabs>
        <w:tab w:val="center" w:pos="4513"/>
        <w:tab w:val="right" w:pos="9026"/>
      </w:tabs>
    </w:pPr>
  </w:style>
  <w:style w:type="character" w:customStyle="1" w:styleId="FooterChar">
    <w:name w:val="Footer Char"/>
    <w:basedOn w:val="DefaultParagraphFont"/>
    <w:link w:val="Footer"/>
    <w:uiPriority w:val="99"/>
    <w:rsid w:val="00466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2150</Words>
  <Characters>12259</Characters>
  <Application>Microsoft Office Word</Application>
  <DocSecurity>0</DocSecurity>
  <Lines>102</Lines>
  <Paragraphs>28</Paragraphs>
  <ScaleCrop>false</ScaleCrop>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Mamadou Ouattara</cp:lastModifiedBy>
  <cp:revision>3</cp:revision>
  <dcterms:created xsi:type="dcterms:W3CDTF">2026-04-30T13:09:00Z</dcterms:created>
  <dcterms:modified xsi:type="dcterms:W3CDTF">2026-05-02T02:49:00Z</dcterms:modified>
</cp:coreProperties>
</file>